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D3" w:rsidRPr="00592CD3" w:rsidRDefault="00592CD3" w:rsidP="00592CD3">
      <w:pPr>
        <w:ind w:left="284" w:right="199" w:firstLine="426"/>
        <w:jc w:val="center"/>
        <w:rPr>
          <w:rFonts w:ascii="Times New Roman" w:hAnsi="Times New Roman"/>
          <w:color w:val="000000"/>
          <w:lang w:val="tr-TR"/>
        </w:rPr>
      </w:pPr>
      <w:r w:rsidRPr="00592CD3">
        <w:rPr>
          <w:rFonts w:ascii="Times New Roman" w:hAnsi="Times New Roman"/>
          <w:color w:val="000000"/>
          <w:lang w:val="tr-TR"/>
        </w:rPr>
        <w:t>ÖZGEÇMİŞ</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1.Adı Soyadı</w:t>
      </w:r>
      <w:r w:rsidRPr="00C219E6">
        <w:rPr>
          <w:rFonts w:ascii="Times New Roman" w:hAnsi="Times New Roman"/>
          <w:sz w:val="24"/>
          <w:szCs w:val="24"/>
          <w:lang w:val="tr-TR"/>
        </w:rPr>
        <w:tab/>
      </w:r>
      <w:r w:rsidRPr="00C219E6">
        <w:rPr>
          <w:rFonts w:ascii="Times New Roman" w:hAnsi="Times New Roman"/>
          <w:sz w:val="24"/>
          <w:szCs w:val="24"/>
          <w:lang w:val="tr-TR"/>
        </w:rPr>
        <w:tab/>
        <w:t>: Sait AŞGIN</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2.Doğum Tarihi</w:t>
      </w:r>
      <w:r w:rsidRPr="00C219E6">
        <w:rPr>
          <w:rFonts w:ascii="Times New Roman" w:hAnsi="Times New Roman"/>
          <w:sz w:val="24"/>
          <w:szCs w:val="24"/>
          <w:lang w:val="tr-TR"/>
        </w:rPr>
        <w:tab/>
        <w:t xml:space="preserve">            :07.12.1967</w:t>
      </w:r>
    </w:p>
    <w:p w:rsidR="00F44839" w:rsidRPr="00C219E6" w:rsidRDefault="005A3397" w:rsidP="00F44839">
      <w:pPr>
        <w:spacing w:before="120" w:after="120" w:line="360" w:lineRule="auto"/>
        <w:ind w:left="576"/>
        <w:jc w:val="both"/>
        <w:rPr>
          <w:rFonts w:ascii="Times New Roman" w:hAnsi="Times New Roman"/>
          <w:sz w:val="24"/>
          <w:szCs w:val="24"/>
          <w:lang w:val="tr-TR"/>
        </w:rPr>
      </w:pPr>
      <w:r>
        <w:rPr>
          <w:rFonts w:ascii="Times New Roman" w:hAnsi="Times New Roman"/>
          <w:sz w:val="24"/>
          <w:szCs w:val="24"/>
          <w:lang w:val="tr-TR"/>
        </w:rPr>
        <w:t>3.Unvanı</w:t>
      </w:r>
      <w:r>
        <w:rPr>
          <w:rFonts w:ascii="Times New Roman" w:hAnsi="Times New Roman"/>
          <w:sz w:val="24"/>
          <w:szCs w:val="24"/>
          <w:lang w:val="tr-TR"/>
        </w:rPr>
        <w:tab/>
      </w:r>
      <w:r>
        <w:rPr>
          <w:rFonts w:ascii="Times New Roman" w:hAnsi="Times New Roman"/>
          <w:sz w:val="24"/>
          <w:szCs w:val="24"/>
          <w:lang w:val="tr-TR"/>
        </w:rPr>
        <w:tab/>
        <w:t>: Prof. Dr.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4.Öğrenim Durumu</w:t>
      </w:r>
    </w:p>
    <w:tbl>
      <w:tblPr>
        <w:tblW w:w="0" w:type="auto"/>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
        <w:gridCol w:w="2653"/>
        <w:gridCol w:w="2817"/>
        <w:gridCol w:w="1417"/>
      </w:tblGrid>
      <w:tr w:rsidR="00F44839" w:rsidRPr="00C219E6" w:rsidTr="00971E66">
        <w:trPr>
          <w:jc w:val="center"/>
        </w:trPr>
        <w:tc>
          <w:tcPr>
            <w:tcW w:w="1104" w:type="dxa"/>
          </w:tcPr>
          <w:p w:rsidR="00F44839" w:rsidRPr="00C219E6" w:rsidRDefault="00F44839" w:rsidP="00971E66">
            <w:pPr>
              <w:spacing w:before="100" w:beforeAutospacing="1" w:after="100" w:afterAutospacing="1"/>
              <w:jc w:val="both"/>
              <w:rPr>
                <w:rFonts w:ascii="Times New Roman" w:hAnsi="Times New Roman"/>
                <w:lang w:val="tr-TR"/>
              </w:rPr>
            </w:pPr>
            <w:r w:rsidRPr="00C219E6">
              <w:rPr>
                <w:rFonts w:ascii="Times New Roman" w:hAnsi="Times New Roman"/>
                <w:lang w:val="tr-TR"/>
              </w:rPr>
              <w:t xml:space="preserve">Lisans </w:t>
            </w:r>
          </w:p>
        </w:tc>
        <w:tc>
          <w:tcPr>
            <w:tcW w:w="2653" w:type="dxa"/>
          </w:tcPr>
          <w:p w:rsidR="00F44839" w:rsidRPr="00C219E6" w:rsidRDefault="00F44839" w:rsidP="00971E66">
            <w:pPr>
              <w:spacing w:before="100" w:beforeAutospacing="1" w:after="100" w:afterAutospacing="1"/>
              <w:jc w:val="both"/>
              <w:rPr>
                <w:rFonts w:ascii="Times New Roman" w:hAnsi="Times New Roman"/>
                <w:lang w:val="tr-TR"/>
              </w:rPr>
            </w:pPr>
            <w:r w:rsidRPr="00C219E6">
              <w:rPr>
                <w:rFonts w:ascii="Times New Roman" w:hAnsi="Times New Roman"/>
                <w:lang w:val="tr-TR"/>
              </w:rPr>
              <w:t>Kamu Yönetimi</w:t>
            </w:r>
          </w:p>
        </w:tc>
        <w:tc>
          <w:tcPr>
            <w:tcW w:w="2817" w:type="dxa"/>
          </w:tcPr>
          <w:p w:rsidR="00F44839" w:rsidRPr="00C219E6" w:rsidRDefault="00F44839" w:rsidP="00971E66">
            <w:pPr>
              <w:spacing w:before="100" w:beforeAutospacing="1" w:after="100" w:afterAutospacing="1"/>
              <w:jc w:val="both"/>
              <w:rPr>
                <w:rFonts w:ascii="Times New Roman" w:hAnsi="Times New Roman"/>
                <w:lang w:val="tr-TR"/>
              </w:rPr>
            </w:pPr>
            <w:r w:rsidRPr="00C219E6">
              <w:rPr>
                <w:rFonts w:ascii="Times New Roman" w:hAnsi="Times New Roman"/>
                <w:lang w:val="tr-TR"/>
              </w:rPr>
              <w:t xml:space="preserve">Ankara Üniversitesi </w:t>
            </w:r>
          </w:p>
        </w:tc>
        <w:tc>
          <w:tcPr>
            <w:tcW w:w="1417" w:type="dxa"/>
          </w:tcPr>
          <w:p w:rsidR="00F44839" w:rsidRPr="00C219E6" w:rsidRDefault="00F44839" w:rsidP="00971E66">
            <w:pPr>
              <w:spacing w:before="100" w:beforeAutospacing="1" w:after="100" w:afterAutospacing="1"/>
              <w:jc w:val="center"/>
              <w:rPr>
                <w:rFonts w:ascii="Times New Roman" w:hAnsi="Times New Roman"/>
                <w:lang w:val="tr-TR"/>
              </w:rPr>
            </w:pPr>
            <w:r w:rsidRPr="00C219E6">
              <w:rPr>
                <w:rFonts w:ascii="Times New Roman" w:hAnsi="Times New Roman"/>
                <w:lang w:val="tr-TR"/>
              </w:rPr>
              <w:t xml:space="preserve">1989 </w:t>
            </w:r>
          </w:p>
        </w:tc>
      </w:tr>
      <w:tr w:rsidR="00F44839" w:rsidRPr="00C219E6" w:rsidTr="00971E66">
        <w:trPr>
          <w:jc w:val="center"/>
        </w:trPr>
        <w:tc>
          <w:tcPr>
            <w:tcW w:w="1104" w:type="dxa"/>
          </w:tcPr>
          <w:p w:rsidR="00F44839" w:rsidRPr="00C219E6" w:rsidRDefault="00F44839" w:rsidP="00971E66">
            <w:pPr>
              <w:spacing w:before="100" w:beforeAutospacing="1" w:after="100" w:afterAutospacing="1"/>
              <w:jc w:val="both"/>
              <w:rPr>
                <w:rFonts w:ascii="Times New Roman" w:hAnsi="Times New Roman"/>
                <w:lang w:val="tr-TR"/>
              </w:rPr>
            </w:pPr>
            <w:r w:rsidRPr="00C219E6">
              <w:rPr>
                <w:rFonts w:ascii="Times New Roman" w:hAnsi="Times New Roman"/>
                <w:lang w:val="tr-TR"/>
              </w:rPr>
              <w:t xml:space="preserve">Y. Lisans </w:t>
            </w:r>
          </w:p>
        </w:tc>
        <w:tc>
          <w:tcPr>
            <w:tcW w:w="2653" w:type="dxa"/>
          </w:tcPr>
          <w:p w:rsidR="00F44839" w:rsidRPr="00C219E6" w:rsidRDefault="00F44839" w:rsidP="00971E66">
            <w:pPr>
              <w:spacing w:before="100" w:beforeAutospacing="1" w:after="100" w:afterAutospacing="1"/>
              <w:jc w:val="both"/>
              <w:rPr>
                <w:rFonts w:ascii="Times New Roman" w:hAnsi="Times New Roman"/>
                <w:lang w:val="tr-TR"/>
              </w:rPr>
            </w:pPr>
            <w:r w:rsidRPr="00C219E6">
              <w:rPr>
                <w:rFonts w:ascii="Times New Roman" w:hAnsi="Times New Roman"/>
                <w:lang w:val="tr-TR"/>
              </w:rPr>
              <w:t>Sosyal Bilimler Enstitüsü Kamu Yönetimi ve Siyaset Bilimi ABD</w:t>
            </w:r>
          </w:p>
        </w:tc>
        <w:tc>
          <w:tcPr>
            <w:tcW w:w="2817" w:type="dxa"/>
          </w:tcPr>
          <w:p w:rsidR="00F44839" w:rsidRPr="00C219E6" w:rsidRDefault="00F44839" w:rsidP="00971E66">
            <w:pPr>
              <w:spacing w:before="100" w:beforeAutospacing="1" w:after="100" w:afterAutospacing="1"/>
              <w:jc w:val="both"/>
              <w:rPr>
                <w:rFonts w:ascii="Times New Roman" w:hAnsi="Times New Roman"/>
                <w:lang w:val="tr-TR"/>
              </w:rPr>
            </w:pPr>
            <w:r w:rsidRPr="00C219E6">
              <w:rPr>
                <w:rFonts w:ascii="Times New Roman" w:hAnsi="Times New Roman"/>
                <w:lang w:val="tr-TR"/>
              </w:rPr>
              <w:t xml:space="preserve">Ankara Üniversitesi </w:t>
            </w:r>
          </w:p>
        </w:tc>
        <w:tc>
          <w:tcPr>
            <w:tcW w:w="1417" w:type="dxa"/>
          </w:tcPr>
          <w:p w:rsidR="00F44839" w:rsidRPr="00C219E6" w:rsidRDefault="00F44839" w:rsidP="00971E66">
            <w:pPr>
              <w:spacing w:before="100" w:beforeAutospacing="1" w:after="100" w:afterAutospacing="1"/>
              <w:jc w:val="center"/>
              <w:rPr>
                <w:rFonts w:ascii="Times New Roman" w:hAnsi="Times New Roman"/>
                <w:lang w:val="tr-TR"/>
              </w:rPr>
            </w:pPr>
            <w:r w:rsidRPr="00C219E6">
              <w:rPr>
                <w:rFonts w:ascii="Times New Roman" w:hAnsi="Times New Roman"/>
                <w:lang w:val="tr-TR"/>
              </w:rPr>
              <w:t>1992</w:t>
            </w:r>
          </w:p>
        </w:tc>
      </w:tr>
      <w:tr w:rsidR="00F44839" w:rsidRPr="00C219E6" w:rsidTr="00971E66">
        <w:trPr>
          <w:jc w:val="center"/>
        </w:trPr>
        <w:tc>
          <w:tcPr>
            <w:tcW w:w="1104" w:type="dxa"/>
          </w:tcPr>
          <w:p w:rsidR="00F44839" w:rsidRPr="00C219E6" w:rsidRDefault="00F44839" w:rsidP="00971E66">
            <w:pPr>
              <w:spacing w:before="100" w:beforeAutospacing="1" w:after="100" w:afterAutospacing="1"/>
              <w:jc w:val="both"/>
              <w:rPr>
                <w:rFonts w:ascii="Times New Roman" w:hAnsi="Times New Roman"/>
                <w:lang w:val="tr-TR"/>
              </w:rPr>
            </w:pPr>
            <w:r w:rsidRPr="00C219E6">
              <w:rPr>
                <w:rFonts w:ascii="Times New Roman" w:hAnsi="Times New Roman"/>
                <w:lang w:val="tr-TR"/>
              </w:rPr>
              <w:t>Doktora</w:t>
            </w:r>
          </w:p>
        </w:tc>
        <w:tc>
          <w:tcPr>
            <w:tcW w:w="2653" w:type="dxa"/>
          </w:tcPr>
          <w:p w:rsidR="00F44839" w:rsidRPr="00C219E6" w:rsidRDefault="00F44839" w:rsidP="00971E66">
            <w:pPr>
              <w:spacing w:before="100" w:beforeAutospacing="1" w:after="100" w:afterAutospacing="1"/>
              <w:jc w:val="both"/>
              <w:rPr>
                <w:rFonts w:ascii="Times New Roman" w:hAnsi="Times New Roman"/>
                <w:lang w:val="tr-TR"/>
              </w:rPr>
            </w:pPr>
            <w:r w:rsidRPr="00C219E6">
              <w:rPr>
                <w:rFonts w:ascii="Times New Roman" w:hAnsi="Times New Roman"/>
                <w:lang w:val="tr-TR"/>
              </w:rPr>
              <w:t>Sosyal Bilimler Enstitüsü Genel Türk Tarihi</w:t>
            </w:r>
          </w:p>
        </w:tc>
        <w:tc>
          <w:tcPr>
            <w:tcW w:w="2817" w:type="dxa"/>
          </w:tcPr>
          <w:p w:rsidR="00F44839" w:rsidRPr="00C219E6" w:rsidRDefault="00F44839" w:rsidP="00971E66">
            <w:pPr>
              <w:spacing w:before="100" w:beforeAutospacing="1" w:after="100" w:afterAutospacing="1"/>
              <w:jc w:val="both"/>
              <w:rPr>
                <w:rFonts w:ascii="Times New Roman" w:hAnsi="Times New Roman"/>
                <w:lang w:val="tr-TR"/>
              </w:rPr>
            </w:pPr>
            <w:r w:rsidRPr="00C219E6">
              <w:rPr>
                <w:rFonts w:ascii="Times New Roman" w:hAnsi="Times New Roman"/>
                <w:lang w:val="tr-TR"/>
              </w:rPr>
              <w:t xml:space="preserve">Ankara Üniversitesi </w:t>
            </w:r>
          </w:p>
        </w:tc>
        <w:tc>
          <w:tcPr>
            <w:tcW w:w="1417" w:type="dxa"/>
          </w:tcPr>
          <w:p w:rsidR="00F44839" w:rsidRPr="00C219E6" w:rsidRDefault="00F44839" w:rsidP="00971E66">
            <w:pPr>
              <w:spacing w:before="100" w:beforeAutospacing="1" w:after="100" w:afterAutospacing="1"/>
              <w:jc w:val="center"/>
              <w:rPr>
                <w:rFonts w:ascii="Times New Roman" w:hAnsi="Times New Roman"/>
                <w:lang w:val="tr-TR"/>
              </w:rPr>
            </w:pPr>
            <w:r w:rsidRPr="00C219E6">
              <w:rPr>
                <w:rFonts w:ascii="Times New Roman" w:hAnsi="Times New Roman"/>
                <w:lang w:val="tr-TR"/>
              </w:rPr>
              <w:t xml:space="preserve">1999 </w:t>
            </w:r>
          </w:p>
        </w:tc>
      </w:tr>
    </w:tbl>
    <w:p w:rsidR="00F44839" w:rsidRPr="00C219E6" w:rsidRDefault="00F44839" w:rsidP="00F44839">
      <w:pPr>
        <w:spacing w:before="120" w:after="120" w:line="360" w:lineRule="auto"/>
        <w:ind w:left="576"/>
        <w:jc w:val="both"/>
        <w:rPr>
          <w:rFonts w:ascii="Times New Roman" w:hAnsi="Times New Roman"/>
          <w:sz w:val="24"/>
          <w:szCs w:val="24"/>
          <w:lang w:val="tr-TR"/>
        </w:rPr>
      </w:pP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5.</w:t>
      </w:r>
      <w:r w:rsidRPr="00C219E6">
        <w:rPr>
          <w:rFonts w:ascii="Times New Roman" w:hAnsi="Times New Roman"/>
          <w:sz w:val="24"/>
          <w:szCs w:val="24"/>
          <w:lang w:val="tr-TR"/>
        </w:rPr>
        <w:tab/>
        <w:t>Akademik Unvanlar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Yardımcı Doçentlik Tarihi: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Doçentlik Tarihi: 2002</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Profesörlük Tarihi: 2009</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6.</w:t>
      </w:r>
      <w:r w:rsidRPr="00C219E6">
        <w:rPr>
          <w:rFonts w:ascii="Times New Roman" w:hAnsi="Times New Roman"/>
          <w:sz w:val="24"/>
          <w:szCs w:val="24"/>
          <w:lang w:val="tr-TR"/>
        </w:rPr>
        <w:tab/>
        <w:t>Yönetilen Yüksek Lisans ve Doktora Tezleri</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6.1.  Yüksek Lisans Tezleri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6.2.  Doktora Tezleri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w:t>
      </w:r>
      <w:r w:rsidRPr="00C219E6">
        <w:rPr>
          <w:rFonts w:ascii="Times New Roman" w:hAnsi="Times New Roman"/>
          <w:sz w:val="24"/>
          <w:szCs w:val="24"/>
          <w:lang w:val="tr-TR"/>
        </w:rPr>
        <w:tab/>
        <w:t>Yayınlar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7.1. Uluslararası hakemli dergilerde yayınlanan makaleler (SCI &amp; SSCI &amp; </w:t>
      </w:r>
      <w:proofErr w:type="spellStart"/>
      <w:r w:rsidRPr="00C219E6">
        <w:rPr>
          <w:rFonts w:ascii="Times New Roman" w:hAnsi="Times New Roman"/>
          <w:sz w:val="24"/>
          <w:szCs w:val="24"/>
          <w:lang w:val="tr-TR"/>
        </w:rPr>
        <w:t>Arts</w:t>
      </w:r>
      <w:proofErr w:type="spellEnd"/>
      <w:r w:rsidRPr="00C219E6">
        <w:rPr>
          <w:rFonts w:ascii="Times New Roman" w:hAnsi="Times New Roman"/>
          <w:sz w:val="24"/>
          <w:szCs w:val="24"/>
          <w:lang w:val="tr-TR"/>
        </w:rPr>
        <w:t xml:space="preserve"> </w:t>
      </w:r>
      <w:proofErr w:type="spellStart"/>
      <w:r w:rsidRPr="00C219E6">
        <w:rPr>
          <w:rFonts w:ascii="Times New Roman" w:hAnsi="Times New Roman"/>
          <w:sz w:val="24"/>
          <w:szCs w:val="24"/>
          <w:lang w:val="tr-TR"/>
        </w:rPr>
        <w:t>and</w:t>
      </w:r>
      <w:proofErr w:type="spellEnd"/>
      <w:r w:rsidRPr="00C219E6">
        <w:rPr>
          <w:rFonts w:ascii="Times New Roman" w:hAnsi="Times New Roman"/>
          <w:sz w:val="24"/>
          <w:szCs w:val="24"/>
          <w:lang w:val="tr-TR"/>
        </w:rPr>
        <w:t xml:space="preserve"> </w:t>
      </w:r>
      <w:proofErr w:type="spellStart"/>
      <w:r w:rsidRPr="00C219E6">
        <w:rPr>
          <w:rFonts w:ascii="Times New Roman" w:hAnsi="Times New Roman"/>
          <w:sz w:val="24"/>
          <w:szCs w:val="24"/>
          <w:lang w:val="tr-TR"/>
        </w:rPr>
        <w:t>Humanities</w:t>
      </w:r>
      <w:proofErr w:type="spellEnd"/>
      <w:r w:rsidRPr="00C219E6">
        <w:rPr>
          <w:rFonts w:ascii="Times New Roman" w:hAnsi="Times New Roman"/>
          <w:sz w:val="24"/>
          <w:szCs w:val="24"/>
          <w:lang w:val="tr-TR"/>
        </w:rPr>
        <w:t>)</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7.2. Uluslararası diğer hakemli dergilerde yayınlanan makaleler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7.3. Uluslararası bilimsel toplantılarda sunulan ve bildiri kitabında (</w:t>
      </w:r>
      <w:proofErr w:type="spellStart"/>
      <w:r w:rsidRPr="00C219E6">
        <w:rPr>
          <w:rFonts w:ascii="Times New Roman" w:hAnsi="Times New Roman"/>
          <w:sz w:val="24"/>
          <w:szCs w:val="24"/>
          <w:lang w:val="tr-TR"/>
        </w:rPr>
        <w:t>proceedings</w:t>
      </w:r>
      <w:proofErr w:type="spellEnd"/>
      <w:r w:rsidRPr="00C219E6">
        <w:rPr>
          <w:rFonts w:ascii="Times New Roman" w:hAnsi="Times New Roman"/>
          <w:sz w:val="24"/>
          <w:szCs w:val="24"/>
          <w:lang w:val="tr-TR"/>
        </w:rPr>
        <w:t>) basılan bildiriler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1. AŞGIN, Sait, “Doğu ve Güneydoğu Anadolu’da Toplumsal Huzursuzluğun Tarihsel Boyutu” I. Milletlerarası Doğu ve Güneydoğu Anadolu’da Güvenlik ve Huzur Sempozyumu (Elazığ, 27–29 Mart 2000)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[Bildiri Metni Yayınlanmıştır: Elazığ 2000, s.851–878.]</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lastRenderedPageBreak/>
        <w:t xml:space="preserve">2. AŞGIN, Sait, “Merzifon Koleji’nin Ermeni İsyanlarına Etkisi” Ermeni Araştırmaları II. Uluslararası Kongresi, (Ankara 29–30 Mayıs 2004),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[Bildiri Metni Yayınlanmıştır: Ankara, 2004 s.190–210]</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3. AŞGIN, Sait, “Mardin İlinde Sektörler İtibariyle Kamu Harcamaları ve Kamu Gelirleriyle Mukayesesi” I. Uluslararası Mardin Tarihi Sempozyumu (Mardin, 25–29 Mayıs, 2006)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[Bildiri Metni Yayınlanmıştır: İstanbul, 2006, s.703–734]</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4. AŞGIN, Sait, “Asya ve Kuzey Afrika Coğrafyasında Bölgelerarası Gelişmişlik Farklarını Giderme Çabalarına Tarihi Bir Bakış: Türkiye Örneği” 38. ICANAS (Uluslararası Asya ve Kuzey Afrika Çalışmaları Kongresi” (Ankara, 10–15 Eylül 2007) (Ayrıca 2. gün 5. oturum ve 4. gün 9. oturum eş-başkanlığı yürütülmüştür).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[Bildiri Özeti yayınlanmıştır. Ankara, 2008, s.442]</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7.4. Yazılan uluslararası kitaplar veya kitaplarda bölümler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a) Uluslararası Kitaplardaki Bölümler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 AŞGIN, Sait, “Atatürk’ten Günümüze Doğu Anadolu’yu Kalkındırma Çabaları” Türkler, C.XVII, (</w:t>
      </w:r>
      <w:proofErr w:type="spellStart"/>
      <w:r w:rsidRPr="00C219E6">
        <w:rPr>
          <w:rFonts w:ascii="Times New Roman" w:hAnsi="Times New Roman"/>
          <w:sz w:val="24"/>
          <w:szCs w:val="24"/>
          <w:lang w:val="tr-TR"/>
        </w:rPr>
        <w:t>nşr</w:t>
      </w:r>
      <w:proofErr w:type="spellEnd"/>
      <w:r w:rsidRPr="00C219E6">
        <w:rPr>
          <w:rFonts w:ascii="Times New Roman" w:hAnsi="Times New Roman"/>
          <w:sz w:val="24"/>
          <w:szCs w:val="24"/>
          <w:lang w:val="tr-TR"/>
        </w:rPr>
        <w:t>. Hasan Celal GÜZEL vd.), Ankara 2002, s.692–705</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2- AŞGIN, Sait, “Atatürk Döneminde İçişleri Bakanlığı’nın Kuruluş ve Gelişmeleri” Atatürk Ansiklopedisi, (</w:t>
      </w:r>
      <w:proofErr w:type="spellStart"/>
      <w:r w:rsidRPr="00C219E6">
        <w:rPr>
          <w:rFonts w:ascii="Times New Roman" w:hAnsi="Times New Roman"/>
          <w:sz w:val="24"/>
          <w:szCs w:val="24"/>
          <w:lang w:val="tr-TR"/>
        </w:rPr>
        <w:t>nşr</w:t>
      </w:r>
      <w:proofErr w:type="spellEnd"/>
      <w:r w:rsidRPr="00C219E6">
        <w:rPr>
          <w:rFonts w:ascii="Times New Roman" w:hAnsi="Times New Roman"/>
          <w:sz w:val="24"/>
          <w:szCs w:val="24"/>
          <w:lang w:val="tr-TR"/>
        </w:rPr>
        <w:t>. Atatürk Kültür Merkezi), (Ansiklopedi Yürütme Kurulunca incelenip yayınlanmasına karar verildiğine dair belge sunulmuştur)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3- AŞGIN, Sait, “Atatürk Döneminde Mülki İdare Taksimatı İle ilgili Çalışmalar ve Sonuçları” Atatürk Ansiklopedisi, (</w:t>
      </w:r>
      <w:proofErr w:type="spellStart"/>
      <w:r w:rsidRPr="00C219E6">
        <w:rPr>
          <w:rFonts w:ascii="Times New Roman" w:hAnsi="Times New Roman"/>
          <w:sz w:val="24"/>
          <w:szCs w:val="24"/>
          <w:lang w:val="tr-TR"/>
        </w:rPr>
        <w:t>nşr</w:t>
      </w:r>
      <w:proofErr w:type="spellEnd"/>
      <w:r w:rsidRPr="00C219E6">
        <w:rPr>
          <w:rFonts w:ascii="Times New Roman" w:hAnsi="Times New Roman"/>
          <w:sz w:val="24"/>
          <w:szCs w:val="24"/>
          <w:lang w:val="tr-TR"/>
        </w:rPr>
        <w:t>. Atatürk Kültür Merkezi), (Ansiklopedi Yürütme Kurulunca incelenip yayınlanmasına karar verildiğine dair belge sunulmuştur)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b) Ulusal Kitaplardaki Bölümler: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 AŞGIN, Sait, “Atatürkçü Düşünce Sistemi” Atatürk 125. Doğum Yılına Armağan, Ankara 2006, s.321–330.</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2- AŞGIN, Sait, “Cumhuriyet Öncesinde Hükümet Başkanları” Kafalı Armağanı, Ankara 2002, s.363–380.</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7.5. Ulusal hakemli dergilerde yayımlanan makaleler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lastRenderedPageBreak/>
        <w:t>1. AŞGIN, Sait, “</w:t>
      </w:r>
      <w:proofErr w:type="spellStart"/>
      <w:r w:rsidRPr="00C219E6">
        <w:rPr>
          <w:rFonts w:ascii="Times New Roman" w:hAnsi="Times New Roman"/>
          <w:sz w:val="24"/>
          <w:szCs w:val="24"/>
          <w:lang w:val="tr-TR"/>
        </w:rPr>
        <w:t>Hadikatü’l</w:t>
      </w:r>
      <w:proofErr w:type="spellEnd"/>
      <w:r w:rsidRPr="00C219E6">
        <w:rPr>
          <w:rFonts w:ascii="Times New Roman" w:hAnsi="Times New Roman"/>
          <w:sz w:val="24"/>
          <w:szCs w:val="24"/>
          <w:lang w:val="tr-TR"/>
        </w:rPr>
        <w:t xml:space="preserve"> </w:t>
      </w:r>
      <w:proofErr w:type="spellStart"/>
      <w:r w:rsidRPr="00C219E6">
        <w:rPr>
          <w:rFonts w:ascii="Times New Roman" w:hAnsi="Times New Roman"/>
          <w:sz w:val="24"/>
          <w:szCs w:val="24"/>
          <w:lang w:val="tr-TR"/>
        </w:rPr>
        <w:t>Vüzerâ</w:t>
      </w:r>
      <w:proofErr w:type="spellEnd"/>
      <w:r w:rsidRPr="00C219E6">
        <w:rPr>
          <w:rFonts w:ascii="Times New Roman" w:hAnsi="Times New Roman"/>
          <w:sz w:val="24"/>
          <w:szCs w:val="24"/>
          <w:lang w:val="tr-TR"/>
        </w:rPr>
        <w:t xml:space="preserve"> Hakkında Bir Değerlendirme”, Osmanlı Tarihi Araştırma ve Uygulama Merkezi (OTAM) Dergisi, S.14, (2003) s.145-162.</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2. AŞGIN, Sait, “Atatürkçü Düşüncenin Gelişimine Bir Bakış”, Atatürk Araştırma Merkezi Dergisi, XVII/49 (Mart 2001), s.281-290.</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3. AŞGIN, Sait, “Atatürk Döneminde Doğu Anadolu (1923-1938)”, Atatürk Araştırma Merkezi Dergisi, XVII/50 (Temmuz 2001), s.451-472.</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4. AŞGIN, Sait, “Türkiye Cumhuriyeti’nde Dil ve Yazı İnkılabı”, Türk Dili Dil ve Edebiyat Dergisi, (Türk Dil Kurumu) S.609 (Eylül 2002), s.482-489</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5. AŞGIN, Sait, “Asılsız Ermeni İddiaları ve Gerçekler”, Atatürk Araştırma Merkezi Dergisi, XIX/55 (Mart 2003), s.383-415</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6. AŞGIN, Sait, “Cumhuriyet Öncesinde Hükümet Başkanları”  DTCF Tarih Araştırmaları Dergisi, S.32, s.333-345.</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 AŞGIN, Sait, “Doğu İllerinde Nüfus ve Kamu Harcamaları”, Başak Ekonomi Dergisi, S.112, (Kasım-Aralık 2000), s.82-90.</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8. AŞGIN, Sait, “İkinci Dünya Savaşı Sonrası Türkiye’nin İktisadi Durumu”, Başak Ekonomi Dergisi, S.113, (Ocak-Şubat 2001) s.66-71.</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9. AŞGIN, Sait, “Demokrat Parti Döneminde Türkiye’nin Uluslararası İlişkileri”, Yeni Türkiye, Türkoloji Özel Sayısı, s.44 (Mart-Nisan 2002), S.562-570</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10. AŞGIN, Sait, “Göktürkler ve Türk Tarihindeki Yeri”, Yeni Türkiye, Türkoloji Özel Sayısı, S.44  (Mart-Nisan 2002), s.9-17.</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11. AŞGIN, Sait, “Türkiye’de Çok Partili Demokratik Hayata Geçiş”, Yeni Türkiye, Türkoloji Özel Sayısı, S.44  (Mart-Nisan 2002), s. 537-550.</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12. AŞGIN, Sait, “Kutadgu Bilig’e Göre Yönetici”, Yeni Türkiye, S.4 (Mayıs-Haziran 1995), s.597-601.</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7.6. Ulusal bilimsel toplantılarda sunulan ve bildiri kitabında basılan bildiriler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 AŞGIN, Sait, “Doğu Anadolu’nun Kamu Gelir ve Giderlerindeki Payı”, Cumhuriyet Döneminde Doğu Anadolu Sempozyumu, Elazığ, 22-24 Ekim 1998.</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2. AŞGIN, Sait, “Türkiye’de Stratejik Planlama Çalışmaları ve Merkezi Kuruluşlarda Son Durum” KAYSEM (Kamu Yönetimi Sempozyumu) III (Denizli15-17 Kasım 2007)</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lastRenderedPageBreak/>
        <w:t>3. AŞGIN, Sait, “Kamu Yönetiminde Stratejik Planlama” ODTÜ Mühendislik ve Strateji Günleri, Ankara 1-2 Mart 2008. (Ayrıca 3. oturumda, Oturum Başkanlığı)</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4. AŞGIN, Sait, “Valilerin Yerel ve Ulusal kalkınmadaki Rolü: Bir Model Önerisi” TODAİE, 4. Ulusal Yerel Yönetimler Sempozyumu, Ankara 19-20 Ekim 2009.</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5. AŞGIN, Sait,”Türkiye’nin Yerel ve Bölgesel Kalkınma Deneyimine Tarihsel Bir Bakış: Hatalar ve Kazanımlar”, TODAİE, 4. Ulusal Yerel Yönetimler Sempozyumu, Ankara, 19-20 Ekim 2009.</w:t>
      </w:r>
    </w:p>
    <w:p w:rsidR="00F44839" w:rsidRDefault="00F44839" w:rsidP="00F44839">
      <w:pPr>
        <w:spacing w:before="120" w:after="120" w:line="360" w:lineRule="auto"/>
        <w:ind w:left="576"/>
        <w:jc w:val="both"/>
        <w:rPr>
          <w:rFonts w:ascii="Times New Roman" w:hAnsi="Times New Roman"/>
          <w:sz w:val="24"/>
          <w:szCs w:val="24"/>
          <w:lang w:val="tr-TR"/>
        </w:rPr>
      </w:pP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7.7. Diğer Yayınlar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a. Makaleler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 AŞGIN, Sait, “Üniversite Gençliğinin Öğrenim Sorunları Üstüne”, Parlamento Dergisi, S.32 (Haziran 1987), s.28-29.</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2. AŞGIN, Sait, “Teröristin Psikolojisi”, Polis Dergisi, S.23 (Nisan-Mayıs-Haziran 2000),  s.204-213.</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3. AŞGIN, Sait, “Cumhuriyet Döneminde Ermeni Terörü Kronolojisi”, İdarecinin Sesi Dergisi, S.85 (Mart-Nisan 2001), s.30-33.</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4. AŞGIN, Sait, “Atatürkçü Düşüncede Çağdaşlaşma”, İdarecinin Sesi Dergisi, (Yayın Kabul Belgesi alınmıştır).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5. AŞGIN, Sait, “Atatürk ve Türk Dili”, İdarecinin Sesi Dergisi, S.86 (Mayıs-Haziran 2001), s.20-25-33.</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6. AŞGIN, Sait, “Atatürkçü Düşünce Sistemi” Türk İdare Dergisi, S.437 (Aralık 2002), s.249-259.</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 AŞGIN, Sait, “Türkiye Cumhuriyeti’nde Yazı ve Dil İnkılabı”, Karaman Dil, Kültür ve Sanat Dergisi, S.33 (Mayıs 2001), s.27-31.</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8. AŞGIN, Sait, “</w:t>
      </w:r>
      <w:proofErr w:type="spellStart"/>
      <w:r w:rsidRPr="00C219E6">
        <w:rPr>
          <w:rFonts w:ascii="Times New Roman" w:hAnsi="Times New Roman"/>
          <w:sz w:val="24"/>
          <w:szCs w:val="24"/>
          <w:lang w:val="tr-TR"/>
        </w:rPr>
        <w:t>Göktürkler’de</w:t>
      </w:r>
      <w:proofErr w:type="spellEnd"/>
      <w:r w:rsidRPr="00C219E6">
        <w:rPr>
          <w:rFonts w:ascii="Times New Roman" w:hAnsi="Times New Roman"/>
          <w:sz w:val="24"/>
          <w:szCs w:val="24"/>
          <w:lang w:val="tr-TR"/>
        </w:rPr>
        <w:t xml:space="preserve"> Devlet Anlayışı, Şehircilik ve Yönetim” </w:t>
      </w:r>
      <w:proofErr w:type="spellStart"/>
      <w:r w:rsidRPr="00C219E6">
        <w:rPr>
          <w:rFonts w:ascii="Times New Roman" w:hAnsi="Times New Roman"/>
          <w:sz w:val="24"/>
          <w:szCs w:val="24"/>
          <w:lang w:val="tr-TR"/>
        </w:rPr>
        <w:t>Yörtürk</w:t>
      </w:r>
      <w:proofErr w:type="spellEnd"/>
      <w:r w:rsidRPr="00C219E6">
        <w:rPr>
          <w:rFonts w:ascii="Times New Roman" w:hAnsi="Times New Roman"/>
          <w:sz w:val="24"/>
          <w:szCs w:val="24"/>
          <w:lang w:val="tr-TR"/>
        </w:rPr>
        <w:t xml:space="preserve"> Dergisi S.36 (Mart-Nisan 2001), s.12-13.</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9. AŞGIN, Sait, “Türkiye’de Çok Partili Hayata Geçiş”, Madenci Dergisi, S.360 (Haziran 2001) s.331-366.</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lastRenderedPageBreak/>
        <w:t>10. AŞGIN, Sait, “II. Dünya Savaşı Sonrasında Türkiye’nin Uluslararası İlişkileri”, Madenci Dergisi, S. 361 (Temmuz 2001) s.331-366.</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11. AŞGIN, Sait, “Ermeni İddiaları ve Gerçekler” PTT Meslekî Kültür ve Aktüalite Dergisi, S.24, s.14-18.</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12. AŞGIN, Sait, “Sözde Ermeni Soykırımı İddiaları ve Tarihî Gerçekler” Polis Dergisi, S.36 s.204-213.</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13. AŞGIN, Sait, “Ülkemizde Stratejik Planlama Kavramının Gelişmesi”, Türk İdare Dergisi, S.451, s.7-20.</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14. AŞGIN, Sait, “Dünyada ve Türkiye’de Bölgelerarası Gelişmişlik Farklarını Giderme Çabaları ve Türkiye Tecrübesi” Türk İdare Dergisi, S.457, s.29-54.</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b. Kitaplar</w:t>
      </w:r>
      <w:bookmarkStart w:id="0" w:name="_GoBack"/>
      <w:bookmarkEnd w:id="0"/>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1. AŞGIN, Sait, Cumhuriyet Döneminde Doğu Anadolu’ya Yapılan Kamu Harcamaları (1946-1960), (Atatürk Kültür, Dil ve Tarih Yüksek Kurumu, Atatürk Araştırma Merkezi Yayını) Ankara, 2000.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2. AŞGIN, Sait, Doğu Anadolu Gerçeği, Malatya, 2000. (İkinci baskı).</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3. AŞGIN, Sait, Türkiye’nin Demokrat Partili Yılları, Konya 2001.</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4. AŞGIN, Sait, Atatürkçülük, Karaman 2001.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5. AŞGIN, Sait, Atatürk’ten Günümüze Doğu Anadolu, Ankara 2002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(31.3.2004 tarihli onay ve 05.4.2004 tarih ve 969–70209 sayılı yazı ile Emniyet Teşkilatı mensuplarına tavsiye edilmiştir).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6. AŞGIN, Sait, Sözde Ermeni Soykırımı İddiaları ve Tarihsel Gerçekler, Karaman 2002.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 AŞGIN, Sait, Kamuda Stratejik Planlama, Ankara 2006.</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8. AŞGIN, Sait, Stratejik Yönetim, Ankara 2008.</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9. AŞGIN Sait, Türkiye’de Bölgelerarası Gelişmişlik Farkları ve Doğu Anadolu, Ankara, 2009.</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7.8. Uluslararası atıflar</w:t>
      </w:r>
    </w:p>
    <w:p w:rsidR="00F44839" w:rsidRDefault="00F44839" w:rsidP="00F44839">
      <w:pPr>
        <w:spacing w:before="120" w:after="120" w:line="360" w:lineRule="auto"/>
        <w:ind w:left="576"/>
        <w:jc w:val="both"/>
        <w:rPr>
          <w:rFonts w:ascii="Times New Roman" w:hAnsi="Times New Roman"/>
          <w:sz w:val="24"/>
          <w:szCs w:val="24"/>
          <w:lang w:val="tr-TR"/>
        </w:rPr>
      </w:pP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lastRenderedPageBreak/>
        <w:t>8.</w:t>
      </w:r>
      <w:r w:rsidRPr="00C219E6">
        <w:rPr>
          <w:rFonts w:ascii="Times New Roman" w:hAnsi="Times New Roman"/>
          <w:sz w:val="24"/>
          <w:szCs w:val="24"/>
          <w:lang w:val="tr-TR"/>
        </w:rPr>
        <w:tab/>
        <w:t>Ulusal&amp;Uluslararası Projeler(DPT, TÜBİTAK, AB, vb.)</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 2004 yılında “Sektörler İtibariyle Karaman’da Mevcut Durum ve Analizi Raporu” ile Karaman İl Gelişme Planı’nı hazırladı.</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2. Düşük maliyetle ve kısa sürede altyapı projelerinin gerçekleştirilmesi, devlet-vatandaş işbirliğinin hizmetlere yansıtılması, iş sahibi edindirmeye yönelik sosyal projeler, gençlik çalışmaları, işadamları, sivil toplum örgütleri ve kanaat önderleri başta olmak üzere toplumun her kesiminin yönetime katılması, il gelişme planı hazırlayarak ildeki gelişmelerin ölçülebilirliğinin sağlanması, idarecinin halkla bütünleşmesi alanlarında özgün ve etkili uygulamaları oldu.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3. İçişleri Bakanlığı merkez teşkilatında rutin iş ve işlemlerinin yanı sıra Mutlu Birey Huzurlu Toplum (2003–2005) ve İçişleri Bakanlığı Faaliyet ve Projeleri (2002–2007) Kitaplarının hazırlıklarını yürüttü.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4. Devlet Planlama Teşkilatı’na teslim edilen İçişleri Bakanlığı Stratejik Planı (2010–2014) ve bu kapsamda Bakanlığın İçyapı Analiz Raporu (250 </w:t>
      </w:r>
      <w:proofErr w:type="spellStart"/>
      <w:r w:rsidRPr="00C219E6">
        <w:rPr>
          <w:rFonts w:ascii="Times New Roman" w:hAnsi="Times New Roman"/>
          <w:sz w:val="24"/>
          <w:szCs w:val="24"/>
          <w:lang w:val="tr-TR"/>
        </w:rPr>
        <w:t>sy</w:t>
      </w:r>
      <w:proofErr w:type="spellEnd"/>
      <w:r w:rsidRPr="00C219E6">
        <w:rPr>
          <w:rFonts w:ascii="Times New Roman" w:hAnsi="Times New Roman"/>
          <w:sz w:val="24"/>
          <w:szCs w:val="24"/>
          <w:lang w:val="tr-TR"/>
        </w:rPr>
        <w:t xml:space="preserve">), Çevre Analizi Raporu (187 </w:t>
      </w:r>
      <w:proofErr w:type="spellStart"/>
      <w:r w:rsidRPr="00C219E6">
        <w:rPr>
          <w:rFonts w:ascii="Times New Roman" w:hAnsi="Times New Roman"/>
          <w:sz w:val="24"/>
          <w:szCs w:val="24"/>
          <w:lang w:val="tr-TR"/>
        </w:rPr>
        <w:t>sy</w:t>
      </w:r>
      <w:proofErr w:type="spellEnd"/>
      <w:r w:rsidRPr="00C219E6">
        <w:rPr>
          <w:rFonts w:ascii="Times New Roman" w:hAnsi="Times New Roman"/>
          <w:sz w:val="24"/>
          <w:szCs w:val="24"/>
          <w:lang w:val="tr-TR"/>
        </w:rPr>
        <w:t xml:space="preserve">), Paydaş Analizi Raporu’nun (106 </w:t>
      </w:r>
      <w:proofErr w:type="spellStart"/>
      <w:r w:rsidRPr="00C219E6">
        <w:rPr>
          <w:rFonts w:ascii="Times New Roman" w:hAnsi="Times New Roman"/>
          <w:sz w:val="24"/>
          <w:szCs w:val="24"/>
          <w:lang w:val="tr-TR"/>
        </w:rPr>
        <w:t>sy</w:t>
      </w:r>
      <w:proofErr w:type="spellEnd"/>
      <w:r w:rsidRPr="00C219E6">
        <w:rPr>
          <w:rFonts w:ascii="Times New Roman" w:hAnsi="Times New Roman"/>
          <w:sz w:val="24"/>
          <w:szCs w:val="24"/>
          <w:lang w:val="tr-TR"/>
        </w:rPr>
        <w:t>) çalışmalarının koordinasyonunu (Mayıs 2009 tarihine kadara) üstlendi. 2007 ve 2008 Yılları SGB Birim faaliyet raporları ile bu yıllara ilişkin Bakanlık İdare Faaliyet Raporlarının hazırlıklarını yürüttü.</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5. Devlet Planlama Teşkilatı’nın IX. Beş Yıllık Kalkınma Planı hazırlıklarında Bölgesel Gelişme Özel İhtisas Komisyonu, İl Gelişme Politikaları ve Stratejileri Alt Komisyonu Üyeliğinde bulundu.</w:t>
      </w:r>
    </w:p>
    <w:p w:rsidR="00F44839" w:rsidRPr="00C219E6" w:rsidRDefault="00F44839" w:rsidP="00F44839">
      <w:pPr>
        <w:spacing w:before="120" w:after="120" w:line="360" w:lineRule="auto"/>
        <w:ind w:left="576"/>
        <w:jc w:val="both"/>
        <w:rPr>
          <w:rFonts w:ascii="Times New Roman" w:hAnsi="Times New Roman"/>
          <w:sz w:val="24"/>
          <w:szCs w:val="24"/>
          <w:lang w:val="tr-TR"/>
        </w:rPr>
      </w:pP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9.</w:t>
      </w:r>
      <w:r w:rsidRPr="00C219E6">
        <w:rPr>
          <w:rFonts w:ascii="Times New Roman" w:hAnsi="Times New Roman"/>
          <w:sz w:val="24"/>
          <w:szCs w:val="24"/>
          <w:lang w:val="tr-TR"/>
        </w:rPr>
        <w:tab/>
        <w:t>İdari Görevler</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4308"/>
        <w:gridCol w:w="1979"/>
      </w:tblGrid>
      <w:tr w:rsidR="00F44839" w:rsidRPr="00C219E6" w:rsidTr="00971E66">
        <w:trPr>
          <w:trHeight w:val="294"/>
        </w:trPr>
        <w:tc>
          <w:tcPr>
            <w:tcW w:w="2343"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b/>
                <w:lang w:val="tr-TR"/>
              </w:rPr>
              <w:t xml:space="preserve">Görev Unvanı </w:t>
            </w:r>
          </w:p>
        </w:tc>
        <w:tc>
          <w:tcPr>
            <w:tcW w:w="4308"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b/>
                <w:lang w:val="tr-TR"/>
              </w:rPr>
              <w:t>Görev Yeri</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b/>
                <w:lang w:val="tr-TR"/>
              </w:rPr>
              <w:t>Yıl</w:t>
            </w:r>
          </w:p>
        </w:tc>
      </w:tr>
      <w:tr w:rsidR="00F44839" w:rsidRPr="00C219E6" w:rsidTr="00971E66">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Kaymakam Adayı</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 xml:space="preserve">Çankırı Valiliği </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1990–1991</w:t>
            </w:r>
          </w:p>
        </w:tc>
      </w:tr>
      <w:tr w:rsidR="00F44839" w:rsidRPr="00C219E6" w:rsidTr="00971E66">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Kaymakam Vekili</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 xml:space="preserve">Kırıkkale- Sulakyurt </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1991–1992</w:t>
            </w:r>
          </w:p>
        </w:tc>
      </w:tr>
      <w:tr w:rsidR="00F44839" w:rsidRPr="00C219E6" w:rsidTr="00971E66">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Yurtdışı eğitim-inceleme</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İngiltere</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1992–1993</w:t>
            </w:r>
          </w:p>
        </w:tc>
      </w:tr>
      <w:tr w:rsidR="00F44839" w:rsidRPr="00C219E6" w:rsidTr="00971E66">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 xml:space="preserve">Kaymakam </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 xml:space="preserve">Çorum-Kargı </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1993–1994</w:t>
            </w:r>
          </w:p>
        </w:tc>
      </w:tr>
      <w:tr w:rsidR="00F44839" w:rsidRPr="00C219E6" w:rsidTr="00971E66">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Kaymakam</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Manisa-Selendi</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1994–1995</w:t>
            </w:r>
          </w:p>
        </w:tc>
      </w:tr>
      <w:tr w:rsidR="00F44839" w:rsidRPr="00C219E6" w:rsidTr="00971E66">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Kaymakam</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Malatya-Yazıhan</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1995–1997</w:t>
            </w:r>
          </w:p>
        </w:tc>
      </w:tr>
      <w:tr w:rsidR="00F44839" w:rsidRPr="00C219E6" w:rsidTr="00971E66">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lastRenderedPageBreak/>
              <w:t>Vali Yardımcısı</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Malatya</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1997–2000</w:t>
            </w:r>
          </w:p>
        </w:tc>
      </w:tr>
      <w:tr w:rsidR="00F44839" w:rsidRPr="00C219E6" w:rsidTr="00971E66">
        <w:trPr>
          <w:trHeight w:val="285"/>
        </w:trPr>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Vali Yardımcısı</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Karaman</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2000–2005.</w:t>
            </w:r>
          </w:p>
        </w:tc>
      </w:tr>
      <w:tr w:rsidR="00F44839" w:rsidRPr="00C219E6" w:rsidTr="00971E66">
        <w:trPr>
          <w:trHeight w:val="351"/>
        </w:trPr>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APK Daire Başkanı</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İçişleri Bakanlığı Merkez Teşkilatı (Ankara)</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2005–2006</w:t>
            </w:r>
          </w:p>
        </w:tc>
      </w:tr>
      <w:tr w:rsidR="00F44839" w:rsidRPr="00C219E6" w:rsidTr="00971E66">
        <w:trPr>
          <w:trHeight w:val="526"/>
        </w:trPr>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Stratejik Yönetim ve Planlama Daire Başkanı</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İçişleri Bakanlığı Merkez Teşkilatı (Ankara)</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2006–2009</w:t>
            </w:r>
          </w:p>
        </w:tc>
      </w:tr>
      <w:tr w:rsidR="00F44839" w:rsidRPr="00C219E6" w:rsidTr="00971E66">
        <w:trPr>
          <w:trHeight w:val="354"/>
        </w:trPr>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Profesör</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Karabük Üniversitesi Fen Edebiyat Fakültesi</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25 Mayıs 2009</w:t>
            </w:r>
          </w:p>
        </w:tc>
      </w:tr>
      <w:tr w:rsidR="00F44839" w:rsidRPr="00C219E6" w:rsidTr="00971E66">
        <w:trPr>
          <w:trHeight w:val="399"/>
        </w:trPr>
        <w:tc>
          <w:tcPr>
            <w:tcW w:w="2343"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Dekan</w:t>
            </w:r>
          </w:p>
        </w:tc>
        <w:tc>
          <w:tcPr>
            <w:tcW w:w="4308" w:type="dxa"/>
            <w:vAlign w:val="center"/>
          </w:tcPr>
          <w:p w:rsidR="00F44839" w:rsidRPr="00C219E6" w:rsidRDefault="00F44839" w:rsidP="00971E66">
            <w:pPr>
              <w:rPr>
                <w:rFonts w:ascii="Times New Roman" w:hAnsi="Times New Roman"/>
                <w:b/>
                <w:lang w:val="tr-TR"/>
              </w:rPr>
            </w:pPr>
            <w:r w:rsidRPr="00C219E6">
              <w:rPr>
                <w:rFonts w:ascii="Times New Roman" w:hAnsi="Times New Roman"/>
                <w:lang w:val="tr-TR"/>
              </w:rPr>
              <w:t>Karabük Üniversitesi İİBF</w:t>
            </w:r>
          </w:p>
        </w:tc>
        <w:tc>
          <w:tcPr>
            <w:tcW w:w="1979" w:type="dxa"/>
            <w:vAlign w:val="center"/>
          </w:tcPr>
          <w:p w:rsidR="00F44839" w:rsidRPr="00C219E6" w:rsidRDefault="00F44839" w:rsidP="00971E66">
            <w:pPr>
              <w:jc w:val="center"/>
              <w:rPr>
                <w:rFonts w:ascii="Times New Roman" w:hAnsi="Times New Roman"/>
                <w:b/>
                <w:lang w:val="tr-TR"/>
              </w:rPr>
            </w:pPr>
            <w:r w:rsidRPr="00C219E6">
              <w:rPr>
                <w:rFonts w:ascii="Times New Roman" w:hAnsi="Times New Roman"/>
                <w:lang w:val="tr-TR"/>
              </w:rPr>
              <w:t>30 Haziran 2009</w:t>
            </w:r>
          </w:p>
        </w:tc>
      </w:tr>
    </w:tbl>
    <w:p w:rsidR="00F44839" w:rsidRPr="00C219E6" w:rsidRDefault="00F44839" w:rsidP="00F44839">
      <w:pPr>
        <w:spacing w:before="120" w:after="120" w:line="360" w:lineRule="auto"/>
        <w:ind w:left="576"/>
        <w:jc w:val="both"/>
        <w:rPr>
          <w:rFonts w:ascii="Times New Roman" w:hAnsi="Times New Roman"/>
          <w:sz w:val="24"/>
          <w:szCs w:val="24"/>
          <w:lang w:val="tr-TR"/>
        </w:rPr>
      </w:pP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10.</w:t>
      </w:r>
      <w:r w:rsidRPr="00C219E6">
        <w:rPr>
          <w:rFonts w:ascii="Times New Roman" w:hAnsi="Times New Roman"/>
          <w:sz w:val="24"/>
          <w:szCs w:val="24"/>
          <w:lang w:val="tr-TR"/>
        </w:rPr>
        <w:tab/>
        <w:t>Bilimsel ve Mesleki Kuruluşlara Üyelikler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11.</w:t>
      </w:r>
      <w:r w:rsidRPr="00C219E6">
        <w:rPr>
          <w:rFonts w:ascii="Times New Roman" w:hAnsi="Times New Roman"/>
          <w:sz w:val="24"/>
          <w:szCs w:val="24"/>
          <w:lang w:val="tr-TR"/>
        </w:rPr>
        <w:tab/>
        <w:t xml:space="preserve"> Ödüller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a) Dereceler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 Kredi ve Yurtlar Kurumu’nca, Üniversiteler arasında düzenlenen “Üniversite Gençliğine Hizmet Götüren Vakıflar” konulu araştırma yarışmasında Türkiye Birinciliği. (1986)</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2. Türk Parlamenterler Birliği’nce düzenlenen “Üniversite Gençliğinin Sorunları ve Çözüm Önerileri” konulu ulusal yarışmada Türkiye Üçüncülüğü. (1987)</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3. 79. Dönem Kaymakamlık Kursu Birinciliği (1993).</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4. Türk İdareciler Derneği tarafından “2001 yılının Başarılı Mülki İdare Amiri olarak ve Bilimsel Çalışmaları nedeniyle” Türk İdareciler Derneği Yılın İdarecisi Özel Ödülü (10 Ocak 2002)</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b) Plaket ve Belgeler</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 xml:space="preserve">1. İçişleri Bakanlığındaki görevi süresince başarıları nedeniyle çeşitli zamanlarda verilen 11 Takdirname ve 3 Teşekkür Belgesi, </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2. Selçuk Üniversitesi Karaman İİBF Dekanı tarafından “Fakültedeki derslerin başarılı bir şekilde yürütülmesi nedeniyle Teşekkür yazısı (6.2.2002)</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3. Türk Dil Kurumu tarafından “Dil Bayramı etkinliklerinde gösterdiği üstün gayret ve özveri dolayısıyla” Teşekkür Belgesi (11.7.2002)</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lastRenderedPageBreak/>
        <w:t>4. Karaman Valisi tarafından, “Türkiye Cumhuriyeti’nin Sekseninci Yılı Kutlamaları çerçevesinde düzenlenen Cumhuriyet Konulu Konferansa katkılarından dolayı” Teşekkür Belgesi (30.10.2003)</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5. Emniyet Genel Müdürlüğü tarafından “Polis Dergisine katkıları nedeniyle” Teşekkür Belgesi (2004)</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6. Selçuk Üniversitesi Karaman İİBF Dekanlığı’nca “Bilim Adamı olarak Fakülteye katkıları” dolayısıyla tevdi edilen Teşekkür Plaketi, (2005)</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7. Karaman Belediye Başkanı ve Karaman Valisi tarafından “10-12 Mayıs 2005 tarihlerinde Türk Dil Kurumu ile işbirliği ve Türk İşbirliği Kalkınma Ajansı desteğiyle gerçekleştirilen ‘Coğrafyaları Birleştiren Kimliği İle Türkçe’ ve ‘Dünya’da Türk Dili Üzerine Çalışmalar’ Konulu uluslar arası bilimsel toplantıların başarı ile düzenlenmesi ve gerçekleştirilmesindeki katkıları nedeniyle” Teşekkür Belgesi (9.5.2005)</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8. Karaman Valisi ve Karaman Belediye Başkanı tarafından “45. Türk Dil Bayramı ve Yunus Emre’yi Anma Etkinlikleri ile Uluslararası Karaman Türk Dili Toplantısı’nın başarı ile gerçekleşmesini sağlamasından dolayı Teşekkür Belgesi (23.5.2005)</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9. Türk Dil Kurumu Başkanı tarafından “Türk Dil Kurumuna katkılarından dolayı” Teşekkür Belgesi (2005)</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10. Belgrad Filoloji Fakültesi Dekanlığı tarafından, “Coğrafyaları Birleştiren Kimliği İle Türkçe” ve “Dünyada Türk Dili Üzerine Çalışmalar” konulu uluslararası bilimsel toplantılara katkısı nedeniyle Teşekkür yazısı (25.5.2005)</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11. Toplu Konut İdaresi Başkanlığı tarafından “Alt Gelir Grubuna Yönelik Konut Sunumu ve Kentsel Dönüşüm temalı Konut Kurultayı’na katılım ve katkılarından dolayı” Teşekkür yazısı (2.5.2006)</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12. Devlet Planlama Teşkilatı Müsteşarlığı tarafından “Dokuzuncu Kalkınma Planı (2007-2013) hazırlıkları kapsamında yürütülen İl Gelişme Stratejileri ve Politikaları Özel İhtisas Komisyonu Raporunun hazırlık çalışmalarına verdiği katkılar nedeniyle” Teşekkür Belgesi (2007)</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13. 38. ICANAS Uluslararası Asya ve Kuzey Afrika Çalışmaları Kongresi Başkanı tarafından “ICANAS 38’e Katılım ve katkıları için” Teşekkür Belgesi (2007)</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lastRenderedPageBreak/>
        <w:t>14. ODTÜ Verimlilik Topluluğu tarafından 29 Şubat-2 Mart 2008 tarihlerinde düzenlen “Strateji” konulu 8.Yönetim ve Mühendislik Günleri’nde bildiri sunması ve bir oturumun başkanlığını yürütmesinden dolayı Teşekkür Plaketi (2008)</w:t>
      </w:r>
    </w:p>
    <w:p w:rsidR="00F44839" w:rsidRPr="00C219E6" w:rsidRDefault="00F44839" w:rsidP="00F44839">
      <w:pPr>
        <w:spacing w:before="120" w:after="120" w:line="360" w:lineRule="auto"/>
        <w:ind w:left="576"/>
        <w:jc w:val="both"/>
        <w:rPr>
          <w:rFonts w:ascii="Times New Roman" w:hAnsi="Times New Roman"/>
          <w:sz w:val="24"/>
          <w:szCs w:val="24"/>
          <w:lang w:val="tr-TR"/>
        </w:rPr>
      </w:pPr>
      <w:r w:rsidRPr="00C219E6">
        <w:rPr>
          <w:rFonts w:ascii="Times New Roman" w:hAnsi="Times New Roman"/>
          <w:sz w:val="24"/>
          <w:szCs w:val="24"/>
          <w:lang w:val="tr-TR"/>
        </w:rPr>
        <w:t>12.</w:t>
      </w:r>
      <w:r w:rsidRPr="00C219E6">
        <w:rPr>
          <w:rFonts w:ascii="Times New Roman" w:hAnsi="Times New Roman"/>
          <w:sz w:val="24"/>
          <w:szCs w:val="24"/>
          <w:lang w:val="tr-TR"/>
        </w:rPr>
        <w:tab/>
        <w:t>Son iki yılda verilen lisans ve lisansüstü dersler</w:t>
      </w:r>
    </w:p>
    <w:tbl>
      <w:tblPr>
        <w:tblW w:w="0" w:type="auto"/>
        <w:tblInd w:w="7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31"/>
        <w:gridCol w:w="1132"/>
        <w:gridCol w:w="3249"/>
        <w:gridCol w:w="852"/>
        <w:gridCol w:w="1182"/>
        <w:gridCol w:w="974"/>
      </w:tblGrid>
      <w:tr w:rsidR="00F44839" w:rsidRPr="00C219E6" w:rsidTr="00971E66">
        <w:tc>
          <w:tcPr>
            <w:tcW w:w="474" w:type="dxa"/>
            <w:vMerge w:val="restart"/>
            <w:tcBorders>
              <w:top w:val="single" w:sz="4" w:space="0" w:color="auto"/>
              <w:bottom w:val="double" w:sz="6" w:space="0" w:color="auto"/>
              <w:right w:val="single" w:sz="4" w:space="0" w:color="auto"/>
            </w:tcBorders>
            <w:vAlign w:val="center"/>
          </w:tcPr>
          <w:p w:rsidR="00F44839" w:rsidRPr="00C219E6" w:rsidRDefault="00F44839" w:rsidP="00971E66">
            <w:pPr>
              <w:jc w:val="center"/>
              <w:rPr>
                <w:lang w:val="tr-TR"/>
              </w:rPr>
            </w:pPr>
            <w:r w:rsidRPr="00C219E6">
              <w:rPr>
                <w:b/>
                <w:lang w:val="tr-TR"/>
              </w:rPr>
              <w:t xml:space="preserve">Akademik Yıl </w:t>
            </w:r>
          </w:p>
        </w:tc>
        <w:tc>
          <w:tcPr>
            <w:tcW w:w="1134" w:type="dxa"/>
            <w:vMerge w:val="restart"/>
            <w:tcBorders>
              <w:top w:val="single" w:sz="4" w:space="0" w:color="auto"/>
              <w:left w:val="single" w:sz="4" w:space="0" w:color="auto"/>
              <w:bottom w:val="double" w:sz="6" w:space="0" w:color="auto"/>
              <w:right w:val="single" w:sz="4" w:space="0" w:color="auto"/>
            </w:tcBorders>
            <w:vAlign w:val="center"/>
          </w:tcPr>
          <w:p w:rsidR="00F44839" w:rsidRPr="00C219E6" w:rsidRDefault="00F44839" w:rsidP="00971E66">
            <w:pPr>
              <w:jc w:val="center"/>
              <w:rPr>
                <w:lang w:val="tr-TR"/>
              </w:rPr>
            </w:pPr>
            <w:r w:rsidRPr="00C219E6">
              <w:rPr>
                <w:b/>
                <w:lang w:val="tr-TR"/>
              </w:rPr>
              <w:t xml:space="preserve">Dönem </w:t>
            </w:r>
          </w:p>
        </w:tc>
        <w:tc>
          <w:tcPr>
            <w:tcW w:w="3261" w:type="dxa"/>
            <w:vMerge w:val="restart"/>
            <w:tcBorders>
              <w:top w:val="single" w:sz="4" w:space="0" w:color="auto"/>
              <w:left w:val="single" w:sz="4" w:space="0" w:color="auto"/>
              <w:bottom w:val="double" w:sz="6" w:space="0" w:color="auto"/>
              <w:right w:val="single" w:sz="4" w:space="0" w:color="auto"/>
            </w:tcBorders>
            <w:vAlign w:val="center"/>
          </w:tcPr>
          <w:p w:rsidR="00F44839" w:rsidRPr="00C219E6" w:rsidRDefault="00F44839" w:rsidP="00971E66">
            <w:pPr>
              <w:jc w:val="center"/>
              <w:rPr>
                <w:lang w:val="tr-TR"/>
              </w:rPr>
            </w:pPr>
            <w:r w:rsidRPr="00C219E6">
              <w:rPr>
                <w:b/>
                <w:lang w:val="tr-TR"/>
              </w:rPr>
              <w:t xml:space="preserve">Dersin Adı </w:t>
            </w:r>
          </w:p>
        </w:tc>
        <w:tc>
          <w:tcPr>
            <w:tcW w:w="2034" w:type="dxa"/>
            <w:gridSpan w:val="2"/>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center"/>
              <w:rPr>
                <w:lang w:val="tr-TR"/>
              </w:rPr>
            </w:pPr>
            <w:r w:rsidRPr="00C219E6">
              <w:rPr>
                <w:b/>
                <w:lang w:val="tr-TR"/>
              </w:rPr>
              <w:t xml:space="preserve">Haftalık Saati </w:t>
            </w:r>
          </w:p>
        </w:tc>
        <w:tc>
          <w:tcPr>
            <w:tcW w:w="974" w:type="dxa"/>
            <w:vMerge w:val="restart"/>
            <w:tcBorders>
              <w:top w:val="single" w:sz="4" w:space="0" w:color="auto"/>
              <w:left w:val="single" w:sz="4" w:space="0" w:color="auto"/>
              <w:bottom w:val="double" w:sz="6" w:space="0" w:color="auto"/>
            </w:tcBorders>
            <w:vAlign w:val="center"/>
          </w:tcPr>
          <w:p w:rsidR="00F44839" w:rsidRPr="00C219E6" w:rsidRDefault="00F44839" w:rsidP="00971E66">
            <w:pPr>
              <w:jc w:val="center"/>
              <w:rPr>
                <w:lang w:val="tr-TR"/>
              </w:rPr>
            </w:pPr>
            <w:r w:rsidRPr="00C219E6">
              <w:rPr>
                <w:b/>
                <w:lang w:val="tr-TR"/>
              </w:rPr>
              <w:t xml:space="preserve">Öğrenci Sayısı </w:t>
            </w:r>
          </w:p>
        </w:tc>
      </w:tr>
      <w:tr w:rsidR="00F44839" w:rsidRPr="00C219E6" w:rsidTr="00971E66">
        <w:tc>
          <w:tcPr>
            <w:tcW w:w="474" w:type="dxa"/>
            <w:vMerge/>
            <w:tcBorders>
              <w:top w:val="single" w:sz="4" w:space="0" w:color="auto"/>
              <w:bottom w:val="double" w:sz="6" w:space="0" w:color="auto"/>
              <w:right w:val="single" w:sz="4" w:space="0" w:color="auto"/>
            </w:tcBorders>
            <w:vAlign w:val="center"/>
          </w:tcPr>
          <w:p w:rsidR="00F44839" w:rsidRPr="00C219E6" w:rsidRDefault="00F44839" w:rsidP="00971E66">
            <w:pPr>
              <w:rPr>
                <w:lang w:val="tr-TR"/>
              </w:rPr>
            </w:pPr>
          </w:p>
        </w:tc>
        <w:tc>
          <w:tcPr>
            <w:tcW w:w="0" w:type="auto"/>
            <w:vMerge/>
            <w:tcBorders>
              <w:top w:val="single" w:sz="4" w:space="0" w:color="auto"/>
              <w:left w:val="single" w:sz="4" w:space="0" w:color="auto"/>
              <w:bottom w:val="double" w:sz="6" w:space="0" w:color="auto"/>
              <w:right w:val="single" w:sz="4" w:space="0" w:color="auto"/>
            </w:tcBorders>
            <w:vAlign w:val="center"/>
          </w:tcPr>
          <w:p w:rsidR="00F44839" w:rsidRPr="00C219E6" w:rsidRDefault="00F44839" w:rsidP="00971E66">
            <w:pPr>
              <w:rPr>
                <w:lang w:val="tr-TR"/>
              </w:rPr>
            </w:pPr>
          </w:p>
        </w:tc>
        <w:tc>
          <w:tcPr>
            <w:tcW w:w="0" w:type="auto"/>
            <w:vMerge/>
            <w:tcBorders>
              <w:top w:val="single" w:sz="4" w:space="0" w:color="auto"/>
              <w:left w:val="single" w:sz="4" w:space="0" w:color="auto"/>
              <w:bottom w:val="double" w:sz="6" w:space="0" w:color="auto"/>
              <w:right w:val="single" w:sz="4" w:space="0" w:color="auto"/>
            </w:tcBorders>
            <w:vAlign w:val="center"/>
          </w:tcPr>
          <w:p w:rsidR="00F44839" w:rsidRPr="00C219E6" w:rsidRDefault="00F44839" w:rsidP="00971E66">
            <w:pPr>
              <w:rPr>
                <w:lang w:val="tr-TR"/>
              </w:rPr>
            </w:pPr>
          </w:p>
        </w:tc>
        <w:tc>
          <w:tcPr>
            <w:tcW w:w="852" w:type="dxa"/>
            <w:tcBorders>
              <w:top w:val="single" w:sz="4" w:space="0" w:color="auto"/>
              <w:left w:val="single" w:sz="4" w:space="0" w:color="auto"/>
              <w:bottom w:val="double" w:sz="6" w:space="0" w:color="auto"/>
              <w:right w:val="single" w:sz="4" w:space="0" w:color="auto"/>
            </w:tcBorders>
          </w:tcPr>
          <w:p w:rsidR="00F44839" w:rsidRPr="00C219E6" w:rsidRDefault="00F44839" w:rsidP="00971E66">
            <w:pPr>
              <w:jc w:val="both"/>
              <w:rPr>
                <w:lang w:val="tr-TR"/>
              </w:rPr>
            </w:pPr>
            <w:r w:rsidRPr="00C219E6">
              <w:rPr>
                <w:b/>
                <w:lang w:val="tr-TR"/>
              </w:rPr>
              <w:t xml:space="preserve">Teorik </w:t>
            </w:r>
          </w:p>
        </w:tc>
        <w:tc>
          <w:tcPr>
            <w:tcW w:w="1182" w:type="dxa"/>
            <w:tcBorders>
              <w:top w:val="single" w:sz="4" w:space="0" w:color="auto"/>
              <w:left w:val="single" w:sz="4" w:space="0" w:color="auto"/>
              <w:bottom w:val="double" w:sz="6" w:space="0" w:color="auto"/>
              <w:right w:val="single" w:sz="4" w:space="0" w:color="auto"/>
            </w:tcBorders>
          </w:tcPr>
          <w:p w:rsidR="00F44839" w:rsidRPr="00C219E6" w:rsidRDefault="00F44839" w:rsidP="00971E66">
            <w:pPr>
              <w:jc w:val="both"/>
              <w:rPr>
                <w:lang w:val="tr-TR"/>
              </w:rPr>
            </w:pPr>
            <w:r w:rsidRPr="00C219E6">
              <w:rPr>
                <w:b/>
                <w:lang w:val="tr-TR"/>
              </w:rPr>
              <w:t xml:space="preserve">Uygulama </w:t>
            </w:r>
          </w:p>
        </w:tc>
        <w:tc>
          <w:tcPr>
            <w:tcW w:w="0" w:type="auto"/>
            <w:vMerge/>
            <w:tcBorders>
              <w:top w:val="single" w:sz="4" w:space="0" w:color="auto"/>
              <w:left w:val="single" w:sz="4" w:space="0" w:color="auto"/>
              <w:bottom w:val="double" w:sz="6" w:space="0" w:color="auto"/>
            </w:tcBorders>
            <w:vAlign w:val="center"/>
          </w:tcPr>
          <w:p w:rsidR="00F44839" w:rsidRPr="00C219E6" w:rsidRDefault="00F44839" w:rsidP="00971E66">
            <w:pPr>
              <w:rPr>
                <w:lang w:val="tr-TR"/>
              </w:rPr>
            </w:pPr>
          </w:p>
        </w:tc>
      </w:tr>
      <w:tr w:rsidR="00F44839" w:rsidRPr="00C219E6" w:rsidTr="00971E66">
        <w:tc>
          <w:tcPr>
            <w:tcW w:w="474" w:type="dxa"/>
            <w:vMerge w:val="restart"/>
            <w:tcBorders>
              <w:top w:val="double" w:sz="6" w:space="0" w:color="auto"/>
              <w:bottom w:val="single" w:sz="12" w:space="0" w:color="auto"/>
              <w:right w:val="single" w:sz="4" w:space="0" w:color="auto"/>
            </w:tcBorders>
            <w:vAlign w:val="center"/>
          </w:tcPr>
          <w:p w:rsidR="00F44839" w:rsidRPr="00C219E6" w:rsidRDefault="00F44839" w:rsidP="00971E66">
            <w:pPr>
              <w:jc w:val="center"/>
              <w:rPr>
                <w:lang w:val="tr-TR"/>
              </w:rPr>
            </w:pPr>
            <w:r w:rsidRPr="00C219E6">
              <w:rPr>
                <w:lang w:val="tr-TR"/>
              </w:rPr>
              <w:t>2007-2008</w:t>
            </w:r>
          </w:p>
        </w:tc>
        <w:tc>
          <w:tcPr>
            <w:tcW w:w="1134" w:type="dxa"/>
            <w:vMerge w:val="restart"/>
            <w:tcBorders>
              <w:top w:val="double" w:sz="6" w:space="0" w:color="auto"/>
              <w:left w:val="single" w:sz="4" w:space="0" w:color="auto"/>
              <w:bottom w:val="single" w:sz="12" w:space="0" w:color="auto"/>
              <w:right w:val="single" w:sz="4" w:space="0" w:color="auto"/>
            </w:tcBorders>
            <w:vAlign w:val="center"/>
          </w:tcPr>
          <w:p w:rsidR="00F44839" w:rsidRPr="00C219E6" w:rsidRDefault="00F44839" w:rsidP="00971E66">
            <w:pPr>
              <w:rPr>
                <w:b/>
                <w:lang w:val="tr-TR"/>
              </w:rPr>
            </w:pPr>
            <w:r w:rsidRPr="00C219E6">
              <w:rPr>
                <w:b/>
                <w:lang w:val="tr-TR"/>
              </w:rPr>
              <w:t xml:space="preserve">Güz </w:t>
            </w:r>
          </w:p>
        </w:tc>
        <w:tc>
          <w:tcPr>
            <w:tcW w:w="3261" w:type="dxa"/>
            <w:tcBorders>
              <w:top w:val="double" w:sz="6"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Stratejik Liderlik </w:t>
            </w:r>
          </w:p>
        </w:tc>
        <w:tc>
          <w:tcPr>
            <w:tcW w:w="852" w:type="dxa"/>
            <w:tcBorders>
              <w:top w:val="double" w:sz="6"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3 </w:t>
            </w:r>
          </w:p>
        </w:tc>
        <w:tc>
          <w:tcPr>
            <w:tcW w:w="1182" w:type="dxa"/>
            <w:tcBorders>
              <w:top w:val="double" w:sz="6"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974" w:type="dxa"/>
            <w:tcBorders>
              <w:top w:val="double" w:sz="6" w:space="0" w:color="auto"/>
              <w:left w:val="single" w:sz="4" w:space="0" w:color="auto"/>
              <w:bottom w:val="single" w:sz="4" w:space="0" w:color="auto"/>
            </w:tcBorders>
          </w:tcPr>
          <w:p w:rsidR="00F44839" w:rsidRPr="00C219E6" w:rsidRDefault="00F44839" w:rsidP="00971E66">
            <w:pPr>
              <w:jc w:val="center"/>
              <w:rPr>
                <w:lang w:val="tr-TR"/>
              </w:rPr>
            </w:pPr>
            <w:r w:rsidRPr="00C219E6">
              <w:rPr>
                <w:lang w:val="tr-TR"/>
              </w:rPr>
              <w:t>12</w:t>
            </w:r>
          </w:p>
        </w:tc>
      </w:tr>
      <w:tr w:rsidR="00F44839" w:rsidRPr="00C219E6" w:rsidTr="00971E66">
        <w:tc>
          <w:tcPr>
            <w:tcW w:w="474" w:type="dxa"/>
            <w:vMerge/>
            <w:tcBorders>
              <w:top w:val="double" w:sz="6" w:space="0" w:color="auto"/>
              <w:bottom w:val="single" w:sz="12" w:space="0" w:color="auto"/>
              <w:right w:val="single" w:sz="4" w:space="0" w:color="auto"/>
            </w:tcBorders>
            <w:vAlign w:val="center"/>
          </w:tcPr>
          <w:p w:rsidR="00F44839" w:rsidRPr="00C219E6" w:rsidRDefault="00F44839" w:rsidP="00971E66">
            <w:pPr>
              <w:rPr>
                <w:lang w:val="tr-TR"/>
              </w:rPr>
            </w:pPr>
          </w:p>
        </w:tc>
        <w:tc>
          <w:tcPr>
            <w:tcW w:w="0" w:type="auto"/>
            <w:vMerge/>
            <w:tcBorders>
              <w:top w:val="double" w:sz="6" w:space="0" w:color="auto"/>
              <w:left w:val="single" w:sz="4" w:space="0" w:color="auto"/>
              <w:bottom w:val="single" w:sz="12" w:space="0" w:color="auto"/>
              <w:right w:val="single" w:sz="4" w:space="0" w:color="auto"/>
            </w:tcBorders>
            <w:vAlign w:val="center"/>
          </w:tcPr>
          <w:p w:rsidR="00F44839" w:rsidRPr="00C219E6" w:rsidRDefault="00F44839" w:rsidP="00971E66">
            <w:pPr>
              <w:rPr>
                <w:b/>
                <w:lang w:val="tr-TR"/>
              </w:rPr>
            </w:pPr>
          </w:p>
        </w:tc>
        <w:tc>
          <w:tcPr>
            <w:tcW w:w="3261" w:type="dxa"/>
            <w:tcBorders>
              <w:top w:val="single" w:sz="4" w:space="0" w:color="auto"/>
              <w:left w:val="single" w:sz="4" w:space="0" w:color="auto"/>
              <w:bottom w:val="single" w:sz="12" w:space="0" w:color="auto"/>
              <w:right w:val="single" w:sz="4" w:space="0" w:color="auto"/>
            </w:tcBorders>
          </w:tcPr>
          <w:p w:rsidR="00F44839" w:rsidRPr="00C219E6" w:rsidRDefault="00F44839" w:rsidP="00971E66">
            <w:pPr>
              <w:jc w:val="both"/>
              <w:rPr>
                <w:lang w:val="tr-TR"/>
              </w:rPr>
            </w:pPr>
            <w:r w:rsidRPr="00C219E6">
              <w:rPr>
                <w:lang w:val="tr-TR"/>
              </w:rPr>
              <w:t xml:space="preserve">Yeni Yönetim Yaklaşımları </w:t>
            </w:r>
          </w:p>
        </w:tc>
        <w:tc>
          <w:tcPr>
            <w:tcW w:w="852" w:type="dxa"/>
            <w:tcBorders>
              <w:top w:val="single" w:sz="4" w:space="0" w:color="auto"/>
              <w:left w:val="single" w:sz="4" w:space="0" w:color="auto"/>
              <w:bottom w:val="single" w:sz="12" w:space="0" w:color="auto"/>
              <w:right w:val="single" w:sz="4" w:space="0" w:color="auto"/>
            </w:tcBorders>
          </w:tcPr>
          <w:p w:rsidR="00F44839" w:rsidRPr="00C219E6" w:rsidRDefault="00F44839" w:rsidP="00971E66">
            <w:pPr>
              <w:jc w:val="both"/>
              <w:rPr>
                <w:lang w:val="tr-TR"/>
              </w:rPr>
            </w:pPr>
            <w:r w:rsidRPr="00C219E6">
              <w:rPr>
                <w:lang w:val="tr-TR"/>
              </w:rPr>
              <w:t xml:space="preserve"> 3 </w:t>
            </w:r>
          </w:p>
        </w:tc>
        <w:tc>
          <w:tcPr>
            <w:tcW w:w="1182" w:type="dxa"/>
            <w:tcBorders>
              <w:top w:val="single" w:sz="4" w:space="0" w:color="auto"/>
              <w:left w:val="single" w:sz="4" w:space="0" w:color="auto"/>
              <w:bottom w:val="single" w:sz="12"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974" w:type="dxa"/>
            <w:tcBorders>
              <w:top w:val="single" w:sz="4" w:space="0" w:color="auto"/>
              <w:left w:val="single" w:sz="4" w:space="0" w:color="auto"/>
              <w:bottom w:val="single" w:sz="12" w:space="0" w:color="auto"/>
            </w:tcBorders>
          </w:tcPr>
          <w:p w:rsidR="00F44839" w:rsidRPr="00C219E6" w:rsidRDefault="00F44839" w:rsidP="00971E66">
            <w:pPr>
              <w:jc w:val="center"/>
              <w:rPr>
                <w:lang w:val="tr-TR"/>
              </w:rPr>
            </w:pPr>
            <w:r w:rsidRPr="00C219E6">
              <w:rPr>
                <w:lang w:val="tr-TR"/>
              </w:rPr>
              <w:t>8</w:t>
            </w:r>
          </w:p>
        </w:tc>
      </w:tr>
      <w:tr w:rsidR="00F44839" w:rsidRPr="00C219E6" w:rsidTr="00971E66">
        <w:tc>
          <w:tcPr>
            <w:tcW w:w="474" w:type="dxa"/>
            <w:vMerge/>
            <w:tcBorders>
              <w:top w:val="double" w:sz="6" w:space="0" w:color="auto"/>
              <w:bottom w:val="single" w:sz="12" w:space="0" w:color="auto"/>
              <w:right w:val="single" w:sz="4" w:space="0" w:color="auto"/>
            </w:tcBorders>
            <w:vAlign w:val="center"/>
          </w:tcPr>
          <w:p w:rsidR="00F44839" w:rsidRPr="00C219E6" w:rsidRDefault="00F44839" w:rsidP="00971E66">
            <w:pPr>
              <w:rPr>
                <w:lang w:val="tr-TR"/>
              </w:rPr>
            </w:pP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F44839" w:rsidRPr="00C219E6" w:rsidRDefault="00F44839" w:rsidP="00971E66">
            <w:pPr>
              <w:jc w:val="both"/>
              <w:rPr>
                <w:b/>
                <w:lang w:val="tr-TR"/>
              </w:rPr>
            </w:pPr>
            <w:r w:rsidRPr="00C219E6">
              <w:rPr>
                <w:b/>
                <w:lang w:val="tr-TR"/>
              </w:rPr>
              <w:t xml:space="preserve">İlkbahar </w:t>
            </w:r>
          </w:p>
        </w:tc>
        <w:tc>
          <w:tcPr>
            <w:tcW w:w="3261" w:type="dxa"/>
            <w:tcBorders>
              <w:top w:val="single" w:sz="12" w:space="0" w:color="auto"/>
              <w:left w:val="single" w:sz="4" w:space="0" w:color="auto"/>
              <w:bottom w:val="single" w:sz="4" w:space="0" w:color="auto"/>
              <w:right w:val="single" w:sz="4" w:space="0" w:color="auto"/>
            </w:tcBorders>
            <w:vAlign w:val="center"/>
          </w:tcPr>
          <w:p w:rsidR="00F44839" w:rsidRPr="00C219E6" w:rsidRDefault="00F44839" w:rsidP="00971E66">
            <w:pPr>
              <w:jc w:val="both"/>
              <w:rPr>
                <w:lang w:val="tr-TR"/>
              </w:rPr>
            </w:pPr>
            <w:r w:rsidRPr="00C219E6">
              <w:rPr>
                <w:lang w:val="tr-TR"/>
              </w:rPr>
              <w:t>Kamu Personel Yönetimi</w:t>
            </w:r>
          </w:p>
        </w:tc>
        <w:tc>
          <w:tcPr>
            <w:tcW w:w="852" w:type="dxa"/>
            <w:tcBorders>
              <w:top w:val="single" w:sz="12"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1182" w:type="dxa"/>
            <w:tcBorders>
              <w:top w:val="single" w:sz="12"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974" w:type="dxa"/>
            <w:tcBorders>
              <w:top w:val="single" w:sz="12" w:space="0" w:color="auto"/>
              <w:left w:val="single" w:sz="4" w:space="0" w:color="auto"/>
              <w:bottom w:val="single" w:sz="4" w:space="0" w:color="auto"/>
            </w:tcBorders>
          </w:tcPr>
          <w:p w:rsidR="00F44839" w:rsidRPr="00C219E6" w:rsidRDefault="00F44839" w:rsidP="00971E66">
            <w:pPr>
              <w:jc w:val="center"/>
              <w:rPr>
                <w:lang w:val="tr-TR"/>
              </w:rPr>
            </w:pPr>
            <w:r w:rsidRPr="00C219E6">
              <w:rPr>
                <w:lang w:val="tr-TR"/>
              </w:rPr>
              <w:t>45</w:t>
            </w:r>
          </w:p>
        </w:tc>
      </w:tr>
      <w:tr w:rsidR="00F44839" w:rsidRPr="00C219E6" w:rsidTr="00971E66">
        <w:tc>
          <w:tcPr>
            <w:tcW w:w="474" w:type="dxa"/>
            <w:vMerge/>
            <w:tcBorders>
              <w:top w:val="double" w:sz="6" w:space="0" w:color="auto"/>
              <w:bottom w:val="single" w:sz="12" w:space="0" w:color="auto"/>
              <w:right w:val="single" w:sz="4" w:space="0" w:color="auto"/>
            </w:tcBorders>
            <w:vAlign w:val="center"/>
          </w:tcPr>
          <w:p w:rsidR="00F44839" w:rsidRPr="00C219E6" w:rsidRDefault="00F44839" w:rsidP="00971E66">
            <w:pPr>
              <w:rPr>
                <w:lang w:val="tr-TR"/>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F44839" w:rsidRPr="00C219E6" w:rsidRDefault="00F44839" w:rsidP="00971E66">
            <w:pPr>
              <w:rPr>
                <w:b/>
                <w:lang w:val="tr-TR"/>
              </w:rPr>
            </w:pPr>
          </w:p>
        </w:tc>
        <w:tc>
          <w:tcPr>
            <w:tcW w:w="3261" w:type="dxa"/>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Yönetim ve Strateji</w:t>
            </w:r>
          </w:p>
        </w:tc>
        <w:tc>
          <w:tcPr>
            <w:tcW w:w="852" w:type="dxa"/>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1182" w:type="dxa"/>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974" w:type="dxa"/>
            <w:tcBorders>
              <w:top w:val="single" w:sz="4" w:space="0" w:color="auto"/>
              <w:left w:val="single" w:sz="4" w:space="0" w:color="auto"/>
              <w:bottom w:val="single" w:sz="4" w:space="0" w:color="auto"/>
            </w:tcBorders>
          </w:tcPr>
          <w:p w:rsidR="00F44839" w:rsidRPr="00C219E6" w:rsidRDefault="00F44839" w:rsidP="00971E66">
            <w:pPr>
              <w:jc w:val="center"/>
              <w:rPr>
                <w:lang w:val="tr-TR"/>
              </w:rPr>
            </w:pPr>
            <w:r w:rsidRPr="00C219E6">
              <w:rPr>
                <w:lang w:val="tr-TR"/>
              </w:rPr>
              <w:t>24</w:t>
            </w:r>
          </w:p>
        </w:tc>
      </w:tr>
      <w:tr w:rsidR="00F44839" w:rsidRPr="00C219E6" w:rsidTr="00971E66">
        <w:tc>
          <w:tcPr>
            <w:tcW w:w="474" w:type="dxa"/>
            <w:vMerge w:val="restart"/>
            <w:tcBorders>
              <w:top w:val="single" w:sz="12" w:space="0" w:color="auto"/>
              <w:bottom w:val="single" w:sz="4" w:space="0" w:color="auto"/>
              <w:right w:val="single" w:sz="4" w:space="0" w:color="auto"/>
            </w:tcBorders>
            <w:vAlign w:val="center"/>
          </w:tcPr>
          <w:p w:rsidR="00F44839" w:rsidRPr="00C219E6" w:rsidRDefault="00F44839" w:rsidP="00971E66">
            <w:pPr>
              <w:jc w:val="center"/>
              <w:rPr>
                <w:lang w:val="tr-TR"/>
              </w:rPr>
            </w:pPr>
            <w:r w:rsidRPr="00C219E6">
              <w:rPr>
                <w:lang w:val="tr-TR"/>
              </w:rPr>
              <w:t>2008-2009</w:t>
            </w:r>
          </w:p>
        </w:tc>
        <w:tc>
          <w:tcPr>
            <w:tcW w:w="1134" w:type="dxa"/>
            <w:vMerge w:val="restart"/>
            <w:tcBorders>
              <w:top w:val="single" w:sz="12" w:space="0" w:color="auto"/>
              <w:left w:val="single" w:sz="4" w:space="0" w:color="auto"/>
              <w:bottom w:val="single" w:sz="12" w:space="0" w:color="auto"/>
              <w:right w:val="single" w:sz="4" w:space="0" w:color="auto"/>
            </w:tcBorders>
            <w:vAlign w:val="center"/>
          </w:tcPr>
          <w:p w:rsidR="00F44839" w:rsidRPr="00C219E6" w:rsidRDefault="00F44839" w:rsidP="00971E66">
            <w:pPr>
              <w:jc w:val="both"/>
              <w:rPr>
                <w:b/>
                <w:lang w:val="tr-TR"/>
              </w:rPr>
            </w:pPr>
            <w:r w:rsidRPr="00C219E6">
              <w:rPr>
                <w:b/>
                <w:lang w:val="tr-TR"/>
              </w:rPr>
              <w:t xml:space="preserve">Güz </w:t>
            </w:r>
          </w:p>
        </w:tc>
        <w:tc>
          <w:tcPr>
            <w:tcW w:w="3261" w:type="dxa"/>
            <w:tcBorders>
              <w:top w:val="single" w:sz="12"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p>
        </w:tc>
        <w:tc>
          <w:tcPr>
            <w:tcW w:w="852" w:type="dxa"/>
            <w:tcBorders>
              <w:top w:val="single" w:sz="12" w:space="0" w:color="auto"/>
              <w:left w:val="single" w:sz="4" w:space="0" w:color="auto"/>
              <w:bottom w:val="single" w:sz="4" w:space="0" w:color="auto"/>
              <w:right w:val="single" w:sz="4" w:space="0" w:color="auto"/>
            </w:tcBorders>
          </w:tcPr>
          <w:p w:rsidR="00F44839" w:rsidRPr="00C219E6" w:rsidRDefault="00F44839" w:rsidP="00971E66">
            <w:pPr>
              <w:jc w:val="center"/>
              <w:rPr>
                <w:lang w:val="tr-TR"/>
              </w:rPr>
            </w:pPr>
          </w:p>
        </w:tc>
        <w:tc>
          <w:tcPr>
            <w:tcW w:w="1182" w:type="dxa"/>
            <w:tcBorders>
              <w:top w:val="single" w:sz="12"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p>
        </w:tc>
        <w:tc>
          <w:tcPr>
            <w:tcW w:w="974" w:type="dxa"/>
            <w:tcBorders>
              <w:top w:val="single" w:sz="12" w:space="0" w:color="auto"/>
              <w:left w:val="single" w:sz="4" w:space="0" w:color="auto"/>
              <w:bottom w:val="single" w:sz="4" w:space="0" w:color="auto"/>
            </w:tcBorders>
          </w:tcPr>
          <w:p w:rsidR="00F44839" w:rsidRPr="00C219E6" w:rsidRDefault="00F44839" w:rsidP="00971E66">
            <w:pPr>
              <w:jc w:val="center"/>
              <w:rPr>
                <w:lang w:val="tr-TR"/>
              </w:rPr>
            </w:pPr>
          </w:p>
        </w:tc>
      </w:tr>
      <w:tr w:rsidR="00F44839" w:rsidRPr="00C219E6" w:rsidTr="00971E66">
        <w:tc>
          <w:tcPr>
            <w:tcW w:w="474" w:type="dxa"/>
            <w:vMerge/>
            <w:tcBorders>
              <w:top w:val="single" w:sz="12" w:space="0" w:color="auto"/>
              <w:bottom w:val="single" w:sz="4" w:space="0" w:color="auto"/>
              <w:right w:val="single" w:sz="4" w:space="0" w:color="auto"/>
            </w:tcBorders>
            <w:vAlign w:val="center"/>
          </w:tcPr>
          <w:p w:rsidR="00F44839" w:rsidRPr="00C219E6" w:rsidRDefault="00F44839" w:rsidP="00971E66">
            <w:pPr>
              <w:rPr>
                <w:lang w:val="tr-TR"/>
              </w:rPr>
            </w:pPr>
          </w:p>
        </w:tc>
        <w:tc>
          <w:tcPr>
            <w:tcW w:w="0" w:type="auto"/>
            <w:vMerge/>
            <w:tcBorders>
              <w:top w:val="single" w:sz="12" w:space="0" w:color="auto"/>
              <w:left w:val="single" w:sz="4" w:space="0" w:color="auto"/>
              <w:bottom w:val="single" w:sz="12" w:space="0" w:color="auto"/>
              <w:right w:val="single" w:sz="4" w:space="0" w:color="auto"/>
            </w:tcBorders>
            <w:vAlign w:val="center"/>
          </w:tcPr>
          <w:p w:rsidR="00F44839" w:rsidRPr="00C219E6" w:rsidRDefault="00F44839" w:rsidP="00971E66">
            <w:pPr>
              <w:rPr>
                <w:b/>
                <w:lang w:val="tr-TR"/>
              </w:rPr>
            </w:pPr>
          </w:p>
        </w:tc>
        <w:tc>
          <w:tcPr>
            <w:tcW w:w="3261" w:type="dxa"/>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w:t>
            </w:r>
          </w:p>
        </w:tc>
        <w:tc>
          <w:tcPr>
            <w:tcW w:w="852" w:type="dxa"/>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1182" w:type="dxa"/>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974" w:type="dxa"/>
            <w:tcBorders>
              <w:top w:val="single" w:sz="4" w:space="0" w:color="auto"/>
              <w:left w:val="single" w:sz="4" w:space="0" w:color="auto"/>
              <w:bottom w:val="single" w:sz="4" w:space="0" w:color="auto"/>
            </w:tcBorders>
          </w:tcPr>
          <w:p w:rsidR="00F44839" w:rsidRPr="00C219E6" w:rsidRDefault="00F44839" w:rsidP="00971E66">
            <w:pPr>
              <w:jc w:val="both"/>
              <w:rPr>
                <w:lang w:val="tr-TR"/>
              </w:rPr>
            </w:pPr>
            <w:r w:rsidRPr="00C219E6">
              <w:rPr>
                <w:lang w:val="tr-TR"/>
              </w:rPr>
              <w:t xml:space="preserve">  </w:t>
            </w:r>
          </w:p>
        </w:tc>
      </w:tr>
      <w:tr w:rsidR="00F44839" w:rsidRPr="00C219E6" w:rsidTr="00971E66">
        <w:tc>
          <w:tcPr>
            <w:tcW w:w="474" w:type="dxa"/>
            <w:vMerge/>
            <w:tcBorders>
              <w:top w:val="single" w:sz="12" w:space="0" w:color="auto"/>
              <w:bottom w:val="single" w:sz="4" w:space="0" w:color="auto"/>
              <w:right w:val="single" w:sz="4" w:space="0" w:color="auto"/>
            </w:tcBorders>
            <w:vAlign w:val="center"/>
          </w:tcPr>
          <w:p w:rsidR="00F44839" w:rsidRPr="00C219E6" w:rsidRDefault="00F44839" w:rsidP="00971E66">
            <w:pPr>
              <w:rPr>
                <w:lang w:val="tr-TR"/>
              </w:rPr>
            </w:pPr>
          </w:p>
        </w:tc>
        <w:tc>
          <w:tcPr>
            <w:tcW w:w="1134" w:type="dxa"/>
            <w:vMerge w:val="restart"/>
            <w:tcBorders>
              <w:top w:val="single" w:sz="12" w:space="0" w:color="auto"/>
              <w:left w:val="single" w:sz="4" w:space="0" w:color="auto"/>
              <w:bottom w:val="single" w:sz="4" w:space="0" w:color="auto"/>
              <w:right w:val="single" w:sz="4" w:space="0" w:color="auto"/>
            </w:tcBorders>
            <w:vAlign w:val="center"/>
          </w:tcPr>
          <w:p w:rsidR="00F44839" w:rsidRPr="00C219E6" w:rsidRDefault="00F44839" w:rsidP="00971E66">
            <w:pPr>
              <w:jc w:val="both"/>
              <w:rPr>
                <w:b/>
                <w:lang w:val="tr-TR"/>
              </w:rPr>
            </w:pPr>
            <w:r w:rsidRPr="00C219E6">
              <w:rPr>
                <w:b/>
                <w:lang w:val="tr-TR"/>
              </w:rPr>
              <w:t xml:space="preserve">İlkbahar </w:t>
            </w:r>
          </w:p>
        </w:tc>
        <w:tc>
          <w:tcPr>
            <w:tcW w:w="3261" w:type="dxa"/>
            <w:tcBorders>
              <w:top w:val="single" w:sz="12"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852" w:type="dxa"/>
            <w:tcBorders>
              <w:top w:val="single" w:sz="12"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1182" w:type="dxa"/>
            <w:tcBorders>
              <w:top w:val="single" w:sz="12"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974" w:type="dxa"/>
            <w:tcBorders>
              <w:top w:val="single" w:sz="12" w:space="0" w:color="auto"/>
              <w:left w:val="single" w:sz="4" w:space="0" w:color="auto"/>
              <w:bottom w:val="single" w:sz="4" w:space="0" w:color="auto"/>
            </w:tcBorders>
          </w:tcPr>
          <w:p w:rsidR="00F44839" w:rsidRPr="00C219E6" w:rsidRDefault="00F44839" w:rsidP="00971E66">
            <w:pPr>
              <w:jc w:val="both"/>
              <w:rPr>
                <w:lang w:val="tr-TR"/>
              </w:rPr>
            </w:pPr>
            <w:r w:rsidRPr="00C219E6">
              <w:rPr>
                <w:lang w:val="tr-TR"/>
              </w:rPr>
              <w:t xml:space="preserve">  </w:t>
            </w:r>
          </w:p>
        </w:tc>
      </w:tr>
      <w:tr w:rsidR="00F44839" w:rsidRPr="00C219E6" w:rsidTr="00971E66">
        <w:tc>
          <w:tcPr>
            <w:tcW w:w="474" w:type="dxa"/>
            <w:vMerge/>
            <w:tcBorders>
              <w:top w:val="single" w:sz="12" w:space="0" w:color="auto"/>
              <w:bottom w:val="single" w:sz="4" w:space="0" w:color="auto"/>
              <w:right w:val="single" w:sz="4" w:space="0" w:color="auto"/>
            </w:tcBorders>
            <w:vAlign w:val="center"/>
          </w:tcPr>
          <w:p w:rsidR="00F44839" w:rsidRPr="00C219E6" w:rsidRDefault="00F44839" w:rsidP="00971E66">
            <w:pPr>
              <w:rPr>
                <w:lang w:val="tr-TR"/>
              </w:rPr>
            </w:pPr>
          </w:p>
        </w:tc>
        <w:tc>
          <w:tcPr>
            <w:tcW w:w="0" w:type="auto"/>
            <w:vMerge/>
            <w:tcBorders>
              <w:top w:val="single" w:sz="12" w:space="0" w:color="auto"/>
              <w:left w:val="single" w:sz="4" w:space="0" w:color="auto"/>
              <w:bottom w:val="single" w:sz="4" w:space="0" w:color="auto"/>
              <w:right w:val="single" w:sz="4" w:space="0" w:color="auto"/>
            </w:tcBorders>
            <w:vAlign w:val="center"/>
          </w:tcPr>
          <w:p w:rsidR="00F44839" w:rsidRPr="00C219E6" w:rsidRDefault="00F44839" w:rsidP="00971E66">
            <w:pPr>
              <w:rPr>
                <w:lang w:val="tr-TR"/>
              </w:rPr>
            </w:pPr>
          </w:p>
        </w:tc>
        <w:tc>
          <w:tcPr>
            <w:tcW w:w="3261" w:type="dxa"/>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852" w:type="dxa"/>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1182" w:type="dxa"/>
            <w:tcBorders>
              <w:top w:val="single" w:sz="4" w:space="0" w:color="auto"/>
              <w:left w:val="single" w:sz="4" w:space="0" w:color="auto"/>
              <w:bottom w:val="single" w:sz="4" w:space="0" w:color="auto"/>
              <w:right w:val="single" w:sz="4" w:space="0" w:color="auto"/>
            </w:tcBorders>
          </w:tcPr>
          <w:p w:rsidR="00F44839" w:rsidRPr="00C219E6" w:rsidRDefault="00F44839" w:rsidP="00971E66">
            <w:pPr>
              <w:jc w:val="both"/>
              <w:rPr>
                <w:lang w:val="tr-TR"/>
              </w:rPr>
            </w:pPr>
            <w:r w:rsidRPr="00C219E6">
              <w:rPr>
                <w:lang w:val="tr-TR"/>
              </w:rPr>
              <w:t xml:space="preserve">  </w:t>
            </w:r>
          </w:p>
        </w:tc>
        <w:tc>
          <w:tcPr>
            <w:tcW w:w="974" w:type="dxa"/>
            <w:tcBorders>
              <w:top w:val="single" w:sz="4" w:space="0" w:color="auto"/>
              <w:left w:val="single" w:sz="4" w:space="0" w:color="auto"/>
              <w:bottom w:val="single" w:sz="4" w:space="0" w:color="auto"/>
            </w:tcBorders>
          </w:tcPr>
          <w:p w:rsidR="00F44839" w:rsidRPr="00C219E6" w:rsidRDefault="00F44839" w:rsidP="00971E66">
            <w:pPr>
              <w:jc w:val="both"/>
              <w:rPr>
                <w:lang w:val="tr-TR"/>
              </w:rPr>
            </w:pPr>
            <w:r w:rsidRPr="00C219E6">
              <w:rPr>
                <w:lang w:val="tr-TR"/>
              </w:rPr>
              <w:t xml:space="preserve">  </w:t>
            </w:r>
          </w:p>
        </w:tc>
      </w:tr>
    </w:tbl>
    <w:p w:rsidR="002A76BB" w:rsidRDefault="002A76BB"/>
    <w:sectPr w:rsidR="002A76BB" w:rsidSect="002A76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44839"/>
    <w:rsid w:val="002A76BB"/>
    <w:rsid w:val="0037426B"/>
    <w:rsid w:val="00592CD3"/>
    <w:rsid w:val="005A3397"/>
    <w:rsid w:val="00971E66"/>
    <w:rsid w:val="00F448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39"/>
    <w:pPr>
      <w:spacing w:after="200" w:line="276" w:lineRule="auto"/>
    </w:pPr>
    <w:rPr>
      <w:rFonts w:eastAsia="Times New Roman"/>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48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2035</Words>
  <Characters>11606</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dc:creator>
  <cp:lastModifiedBy>Optik</cp:lastModifiedBy>
  <cp:revision>3</cp:revision>
  <dcterms:created xsi:type="dcterms:W3CDTF">2015-11-07T13:47:00Z</dcterms:created>
  <dcterms:modified xsi:type="dcterms:W3CDTF">2017-01-20T09:23:00Z</dcterms:modified>
</cp:coreProperties>
</file>